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woman eligible for availing the benefits under the Act may give a notice in writing in the prescribed format, capturing the specifics of the payments and the leaves. </w:t>
      </w:r>
      <w:r w:rsidDel="00000000" w:rsidR="00000000" w:rsidRPr="00000000">
        <w:rPr>
          <w:b w:val="1"/>
          <w:bCs w:val="1"/>
          <w:rtl w:val="0"/>
        </w:rPr>
        <w:t xml:space="preserve">Section 6 of the Act</w:t>
      </w:r>
      <w:r w:rsidDel="00000000" w:rsidR="00000000" w:rsidRPr="00000000">
        <w:rPr>
          <w:rtl w:val="0"/>
        </w:rPr>
        <w:t xml:space="preserve"> On receipt of the notice, the employer shall permit such woman to be absent from the establishment for prescribed period. </w:t>
      </w:r>
      <w:r w:rsidDel="00000000" w:rsidR="00000000" w:rsidRPr="00000000">
        <w:rPr>
          <w:b w:val="1"/>
          <w:bCs w:val="1"/>
          <w:rtl w:val="0"/>
        </w:rPr>
        <w:t xml:space="preserve">Section 6(4) of the Act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