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registered medical practitioner is legally bound to maintain strict confidentiality regarding the identity and details of any woman who has undergone a termination of pregnancy under this Act. This information cannot be disclosed to anyone, except to a person who is duly authorized by law.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Any violation of this confidentiality clause is a punishable offence. The penalty for such a breach can lead to imprisonment for a term which may extend up to one year, or a fine, or both.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