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the Code of Criminal Procedure (CrPC), most offences under this Act are classified as </w:t>
      </w:r>
      <w:r w:rsidDel="00000000" w:rsidR="00000000" w:rsidRPr="00000000">
        <w:rPr>
          <w:b w:val="1"/>
          <w:bCs w:val="1"/>
          <w:rtl w:val="0"/>
        </w:rPr>
        <w:t xml:space="preserve">cognizable</w:t>
      </w:r>
      <w:r w:rsidDel="00000000" w:rsidR="00000000" w:rsidRPr="00000000">
        <w:rPr>
          <w:rtl w:val="0"/>
        </w:rPr>
        <w:t xml:space="preserve">. This means that for such offences, a First Information Report (FIR) can be directly filed with the police to initiate an investigation.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the specific offence of breaching the confidentiality and privacy of a woman (as stipulated under the Act) is considered a **non-cognizable** offence. In such a case, the appropriate legal recourse is to file a formal complaint before a competent court as per the procedures outlined in the CrPC.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