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 for Unauthorized Termination of Pregnancy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 Performing an Illegal Termination: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Any individual who is not a registered medical practitioner and conducts a pregnancy termination is punishable with rigorous imprisonment for a term of not less than two years, which may extend to seven years.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bCs w:val="1"/>
          <w:rtl w:val="0"/>
        </w:rPr>
        <w:t xml:space="preserve">Conducting a Termination at an Unauthorized 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If a pregnancy is terminated at a location that is not approved under the Act, the person performing the procedure shall be punishable with rigorous imprisonment for a term of not less than two years, which may extend to seven years.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b w:val="1"/>
          <w:bCs w:val="1"/>
          <w:rtl w:val="0"/>
        </w:rPr>
        <w:t xml:space="preserve">Owning an Unauthorized Facility: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The owner of a premise that is not authorized for conducting terminations under this Act, and where such a procedure is nevertheless carried out, shall be punishable with rigorous imprisonment for a term of not less than two years, which may extend to seven years.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