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600" w:after="300" w:lineRule="atLeast" w:line="450"/>
        <w:outlineLvl w:val="0"/>
        <w:rPr>
          <w:rFonts w:ascii="Segoe UI" w:cs="Segoe UI" w:eastAsia="Times New Roman" w:hAnsi="Segoe UI"/>
          <w:b/>
          <w:bCs/>
          <w:kern w:val="36"/>
          <w:sz w:val="36"/>
          <w:szCs w:val="36"/>
        </w:rPr>
      </w:pPr>
      <w:r>
        <w:rPr>
          <w:rFonts w:cs="Segoe UI" w:eastAsia="Times New Roman" w:hAnsi="Segoe UI"/>
          <w:b/>
          <w:bCs/>
          <w:kern w:val="36"/>
          <w:sz w:val="36"/>
          <w:szCs w:val="36"/>
          <w:lang w:val="en-US"/>
        </w:rPr>
        <w:t>Siyosat</w:t>
      </w:r>
    </w:p>
    <w:p>
      <w:pPr>
        <w:pStyle w:val="style0"/>
        <w:shd w:val="clear" w:color="auto" w:fill="ffffff"/>
        <w:spacing w:before="300" w:after="300" w:lineRule="atLeast" w:line="375"/>
        <w:jc w:val="both"/>
        <w:rPr>
          <w:rFonts w:ascii="Helvetica" w:cs="Times New Roman" w:eastAsia="Times New Roman" w:hAnsi="Helvetica"/>
          <w:sz w:val="23"/>
          <w:szCs w:val="23"/>
        </w:rPr>
      </w:pPr>
      <w:r>
        <w:rPr>
          <w:rFonts w:ascii="Helvetica" w:cs="Times New Roman" w:eastAsia="Times New Roman" w:hAnsi="Helvetica"/>
          <w:b/>
          <w:bCs/>
          <w:sz w:val="23"/>
        </w:rPr>
        <w:t>Ochiq</w:t>
      </w:r>
      <w:r>
        <w:rPr>
          <w:rFonts w:ascii="Helvetica" w:cs="Times New Roman" w:eastAsia="Times New Roman" w:hAnsi="Helvetica"/>
          <w:b/>
          <w:bCs/>
          <w:sz w:val="23"/>
        </w:rPr>
        <w:t xml:space="preserve"> </w:t>
      </w:r>
      <w:r>
        <w:rPr>
          <w:rFonts w:ascii="Helvetica" w:cs="Times New Roman" w:eastAsia="Times New Roman" w:hAnsi="Helvetica"/>
          <w:b/>
          <w:bCs/>
          <w:sz w:val="23"/>
        </w:rPr>
        <w:t>Kirish</w:t>
      </w:r>
      <w:r>
        <w:rPr>
          <w:rFonts w:ascii="Helvetica" w:cs="Times New Roman" w:eastAsia="Times New Roman" w:hAnsi="Helvetica"/>
          <w:b/>
          <w:bCs/>
          <w:sz w:val="23"/>
        </w:rPr>
        <w:t xml:space="preserve"> </w:t>
      </w:r>
      <w:r>
        <w:rPr>
          <w:rFonts w:ascii="Helvetica" w:cs="Times New Roman" w:eastAsia="Times New Roman" w:hAnsi="Helvetica"/>
          <w:b/>
          <w:bCs/>
          <w:sz w:val="23"/>
        </w:rPr>
        <w:t xml:space="preserve">Siyosat </w:t>
      </w:r>
      <w:r>
        <w:rPr>
          <w:rFonts w:ascii="Helvetica" w:cs="Times New Roman" w:eastAsia="Times New Roman" w:hAnsi="Helvetica"/>
          <w:b/>
          <w:bCs/>
          <w:sz w:val="23"/>
        </w:rPr>
        <w:t>:</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Biz nashr etilgan tadqiqotdan notijorat maqsadlarda foydalanishga ruxsat beramiz. Biz o'quvchilarni, kutubxonachilarni va omborlarni maqolalarni ilmiy birodarlik o'rtasida hech qanday cheklovlarsiz tarqatishlarini qo'llab-quvvatlaymiz. Biz bilim almashish hech qachon hech qanday vosita bilan cheklanmasligiga qat'iy ishonamiz. Ochiq kirish nashriyot moduli Open Journal System platformasi va jurnallar tarkibini indekslovchi ochiq kirish omborlari tomonidan quvvatlanadi.</w:t>
      </w:r>
    </w:p>
    <w:p>
      <w:pPr>
        <w:pStyle w:val="style0"/>
        <w:shd w:val="clear" w:color="auto" w:fill="ffffff"/>
        <w:spacing w:before="300" w:after="300" w:lineRule="atLeast" w:line="375"/>
        <w:jc w:val="both"/>
        <w:rPr>
          <w:rFonts w:ascii="Helvetica" w:cs="Times New Roman" w:eastAsia="Times New Roman" w:hAnsi="Helvetica"/>
          <w:b/>
          <w:bCs/>
          <w:sz w:val="23"/>
          <w:szCs w:val="23"/>
          <w:lang w:val="en-US"/>
        </w:rPr>
      </w:pP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b/>
          <w:bCs/>
          <w:sz w:val="23"/>
          <w:szCs w:val="23"/>
          <w:lang w:val="en-US"/>
        </w:rPr>
        <w:t>Tijorat masalalari siyosati</w:t>
      </w:r>
      <w:r>
        <w:rPr>
          <w:rFonts w:ascii="Helvetica" w:cs="Times New Roman" w:eastAsia="Times New Roman" w:hAnsi="Helvetica"/>
          <w:sz w:val="23"/>
          <w:szCs w:val="23"/>
          <w:lang w:val="en-US"/>
        </w:rPr>
        <w:t>:</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Innovatsiyalar: Ijtimoiy fanlar va tadqiqotlar jurnali nashr va indeksatsiya faoliyati uchun hali biron bir tashkilot tomonidan homiylik qilinmagan. Biz mualliflar, o'quvchilar va indekslash tashkilotlariga eng yaxshi xizmatlarni taqdim etish uchun mualliflardan to'plangan nashr to'lovlariga asoslanamiz. Biz mualliflarimizdan maqolani qayta ishlash to'lovi (APC) sifatida olingan pul yordamiga bog'liqmiz. Nashr qilish shaklida olingan pul yordami to'lovlar, dasturiy ta'minot xarajatlari, veb-saytlarni boshqarish to'lovlari, uyushmaga a'zolik to'lovlari, bosma to'lovlar va boshqa har xil xarajatlarni boshqarish uchun sarflanadi.</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b/>
          <w:bCs/>
          <w:sz w:val="23"/>
          <w:szCs w:val="23"/>
          <w:lang w:val="en-US"/>
        </w:rPr>
        <w:t>Hozirgi vaqtda innovatsiyalar</w:t>
      </w:r>
      <w:r>
        <w:rPr>
          <w:rFonts w:ascii="Helvetica" w:cs="Times New Roman" w:eastAsia="Times New Roman" w:hAnsi="Helvetica"/>
          <w:sz w:val="23"/>
          <w:szCs w:val="23"/>
          <w:lang w:val="en-US"/>
        </w:rPr>
        <w:t>: Ijtimoiy fanlar va tadqiqotlar jurnali mualliflardan nominal to'lovlarni oladi. Quyidagilarni hisobga olgan holda nashr to‘lovlarini qayta ko‘rib chiqishga qaror qildik:</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Bir yilda nashr etilgan jami qo'lyozmalar</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Maqolani qayta ishlash to'lovlaridan olingan daromad</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Moliyaviy yil xarajatlari tafsilotlari (o'tgan moliyaviy yilga nisbatan maksimal 10% o'sish)</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ascii="Helvetica" w:cs="Times New Roman" w:eastAsia="Times New Roman" w:hAnsi="Helvetica"/>
          <w:sz w:val="23"/>
          <w:szCs w:val="23"/>
          <w:lang w:val="en-US"/>
        </w:rPr>
        <w:t>Biz keyingi moliyaviy nashrlarda nashr etmoqchi bo'lgan nashrlarning maksimal soni. Scholarzest bilan nashr qilish uchun hozirgi nominal to'lov har biriga 20 AQSh dollarini tashkil qiladi.</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p>
    <w:p>
      <w:pPr>
        <w:pStyle w:val="style0"/>
        <w:shd w:val="clear" w:color="auto" w:fill="ffffff"/>
        <w:spacing w:before="300" w:after="300" w:lineRule="atLeast" w:line="375"/>
        <w:jc w:val="both"/>
        <w:rPr>
          <w:rFonts w:ascii="Helvetica" w:cs="Times New Roman" w:eastAsia="Times New Roman" w:hAnsi="Helvetica"/>
          <w:b/>
          <w:bCs/>
          <w:sz w:val="23"/>
          <w:szCs w:val="23"/>
          <w:lang w:val="en-US"/>
        </w:rPr>
      </w:pPr>
      <w:r>
        <w:rPr>
          <w:rFonts w:ascii="Helvetica" w:cs="Times New Roman" w:eastAsia="Times New Roman" w:hAnsi="Helvetica"/>
          <w:b/>
          <w:bCs/>
          <w:sz w:val="23"/>
          <w:szCs w:val="23"/>
          <w:lang w:val="en-US"/>
        </w:rPr>
        <w:t>Manfaatlar to'qnashuvi siyosati:</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r>
        <w:rPr>
          <w:rFonts w:cs="Times New Roman" w:eastAsia="Times New Roman" w:hAnsi="Helvetica"/>
          <w:sz w:val="23"/>
          <w:szCs w:val="23"/>
          <w:lang w:val="en-US"/>
        </w:rPr>
        <w:t>Hozirgi kunda ochiq nashrlar bo'yicha manfaatlar to'qnashuvi bilan bog'liq bir necha holatlar qayd etilmoqda. Innovatsiyalar: Ijtimoiy fanlar va tadqiqotlar jurnali tomonidan olib boriladigan tengdoshlarni ko'rib chiqish jarayoni manfaatlar to'qnashuvining oldini olishga harakat qilmoqda. Biz manfaatdor tomonlarni qo'lyozmalarni yozish, ko'rib chiqish va nashrga qabul qilishda xatolarga yo'l qo'ymaslikka chaqiramiz. Nashr qilish jarayonida manfaatlar to'qnashuviga yo'l qo'ymaslik uchun biz ikki marta ko'r-ko'rona sharhlashni amalga oshiramiz. Bizning fikrimizcha, ilmiy nashrlardagi ilmiy hukmlar har qanday munosabatlar yoki yolg'on va'dalarga ta'sir qilmasligi kerak. Mualliflik bilan bog'liq manfaatlar to'qnashuvi, plagiat, noto'g'ri iqtibos keltirish bilan bog'liq har qanday masalalar birinchi navbatda ko'rib chiqiladi va bunday qo'lyozmalar mualliflarni oldindan ogohlantirmasdan jurnaldan olib tashlanadi. Keyinchalik muallifga va asarni ularniki deb da'vo qilgan tomonlarga asarning egaligini isbotlash uchun adolatli imkoniyat beriladi.</w:t>
      </w:r>
    </w:p>
    <w:p>
      <w:pPr>
        <w:pStyle w:val="style0"/>
        <w:shd w:val="clear" w:color="auto" w:fill="ffffff"/>
        <w:spacing w:before="300" w:after="300" w:lineRule="atLeast" w:line="375"/>
        <w:jc w:val="both"/>
        <w:rPr>
          <w:rFonts w:ascii="Helvetica" w:cs="Times New Roman" w:eastAsia="Times New Roman" w:hAnsi="Helvetica"/>
          <w:sz w:val="23"/>
          <w:szCs w:val="23"/>
          <w:lang w:val="en-US"/>
        </w:rPr>
      </w:pPr>
    </w:p>
    <w:p>
      <w:pPr>
        <w:pStyle w:val="style0"/>
        <w:rPr>
          <w:b/>
          <w:bCs/>
        </w:rPr>
      </w:pPr>
      <w:r>
        <w:rPr>
          <w:b/>
          <w:bCs/>
        </w:rPr>
        <w:t>Odam</w:t>
      </w:r>
      <w:r>
        <w:rPr>
          <w:b/>
          <w:bCs/>
        </w:rPr>
        <w:t xml:space="preserve"> </w:t>
      </w:r>
      <w:r>
        <w:rPr>
          <w:b/>
          <w:bCs/>
        </w:rPr>
        <w:t>va</w:t>
      </w:r>
      <w:r>
        <w:rPr>
          <w:b/>
          <w:bCs/>
        </w:rPr>
        <w:t xml:space="preserve"> </w:t>
      </w:r>
      <w:r>
        <w:rPr>
          <w:b/>
          <w:bCs/>
        </w:rPr>
        <w:t>Hayvon</w:t>
      </w:r>
      <w:r>
        <w:rPr>
          <w:b/>
          <w:bCs/>
        </w:rPr>
        <w:t xml:space="preserve"> </w:t>
      </w:r>
      <w:r>
        <w:rPr>
          <w:b/>
          <w:bCs/>
        </w:rPr>
        <w:t>Huquqlar</w:t>
      </w:r>
      <w:r>
        <w:rPr>
          <w:b/>
          <w:bCs/>
        </w:rPr>
        <w:t xml:space="preserve"> </w:t>
      </w:r>
      <w:r>
        <w:rPr>
          <w:b/>
          <w:bCs/>
        </w:rPr>
        <w:t xml:space="preserve">Siyosat </w:t>
      </w:r>
      <w:r>
        <w:rPr>
          <w:b/>
          <w:bCs/>
        </w:rPr>
        <w:t>:</w:t>
      </w:r>
    </w:p>
    <w:p>
      <w:pPr>
        <w:pStyle w:val="style0"/>
        <w:rPr/>
      </w:pPr>
      <w:r>
        <w:t>Biz ishonamizki, odamlar va hayvonlar ustida har qanday tajriba o'tkazilsa, tegishli mamlakatning barcha tartib</w:t>
      </w:r>
      <w:r>
        <w:rPr>
          <w:lang w:val="en-US"/>
        </w:rPr>
        <w:t>lar</w:t>
      </w:r>
      <w:r>
        <w:t>, qoida</w:t>
      </w:r>
      <w:r>
        <w:rPr>
          <w:lang w:val="en-US"/>
        </w:rPr>
        <w:t xml:space="preserve"> </w:t>
      </w:r>
      <w:r>
        <w:t>va qoidalariga rioya qilinadi va hech qanday qoidalar buzilmaydi. Xalqaro noshirlar</w:t>
      </w:r>
      <w:r>
        <w:rPr>
          <w:lang w:val="en-US"/>
        </w:rPr>
        <w:t>u</w:t>
      </w:r>
      <w:r>
        <w:t xml:space="preserve"> bo'lganimiz uchun biz har safar qonunlarga rioya qilgan mualliflar eksperiment paytida o'zaro tekshira olmasligimiz mumkin. Biz barcha mualliflardan o'z mamlakatlari tomonidan o'rnatilgan axloqiy me'yorlarga rioya qilishlarini so'raymiz.</w:t>
      </w:r>
    </w:p>
    <w:p>
      <w:pPr>
        <w:pStyle w:val="style0"/>
        <w:rPr>
          <w:b/>
          <w:bCs/>
        </w:rPr>
      </w:pPr>
    </w:p>
    <w:p>
      <w:pPr>
        <w:pStyle w:val="style0"/>
        <w:rPr>
          <w:b/>
          <w:bCs/>
        </w:rPr>
      </w:pPr>
      <w:r>
        <w:rPr>
          <w:b/>
          <w:bCs/>
          <w:lang w:val="en-US"/>
        </w:rPr>
        <w:t>Jurnal haqida:</w:t>
      </w:r>
    </w:p>
    <w:p>
      <w:pPr>
        <w:pStyle w:val="style0"/>
        <w:rPr/>
      </w:pPr>
      <w:r>
        <w:rPr>
          <w:lang w:val="en-US"/>
        </w:rPr>
        <w:t>Innovatsiyalar: Ijtimoiy fanlar va tadqiqotlar jurnali (IJSSR) gumanitar fanlar, ijtimoiy fanlar va taʼlim tadqiqotlarining turli yoʻnalishlarini qamrab oluvchi koʻp tarmoqli koʻrib chiqiladigan ochiq kirish jurnalidir. Ushbu jurnal har oyda har oy onlayn nashr etiladi.</w:t>
      </w:r>
    </w:p>
    <w:p>
      <w:pPr>
        <w:pStyle w:val="style0"/>
        <w:rPr/>
      </w:pPr>
    </w:p>
    <w:p>
      <w:pPr>
        <w:pStyle w:val="style0"/>
        <w:rPr>
          <w:b/>
          <w:bCs/>
        </w:rPr>
      </w:pPr>
      <w:r>
        <w:rPr>
          <w:b/>
          <w:bCs/>
          <w:lang w:val="en-US"/>
        </w:rPr>
        <w:t>ISSN (E):</w:t>
      </w:r>
    </w:p>
    <w:p>
      <w:pPr>
        <w:pStyle w:val="style0"/>
        <w:rPr>
          <w:b/>
          <w:bCs/>
        </w:rPr>
      </w:pPr>
    </w:p>
    <w:p>
      <w:pPr>
        <w:pStyle w:val="style0"/>
        <w:rPr>
          <w:b/>
          <w:bCs/>
        </w:rPr>
      </w:pPr>
      <w:r>
        <w:rPr>
          <w:b/>
          <w:bCs/>
          <w:lang w:val="en-US"/>
        </w:rPr>
        <w:t>Nima uchun IJSSRda nashr qilish kerak?</w:t>
      </w:r>
    </w:p>
    <w:p>
      <w:pPr>
        <w:pStyle w:val="style0"/>
        <w:rPr>
          <w:b/>
          <w:bCs/>
        </w:rPr>
      </w:pPr>
    </w:p>
    <w:p>
      <w:pPr>
        <w:pStyle w:val="style179"/>
        <w:numPr>
          <w:ilvl w:val="0"/>
          <w:numId w:val="1"/>
        </w:numPr>
        <w:rPr/>
      </w:pPr>
      <w:r>
        <w:rPr>
          <w:lang w:val="en-US"/>
        </w:rPr>
        <w:t>Yuqori ta'sirga ega onlayn jurnal</w:t>
      </w:r>
    </w:p>
    <w:p>
      <w:pPr>
        <w:pStyle w:val="style179"/>
        <w:numPr>
          <w:ilvl w:val="0"/>
          <w:numId w:val="8"/>
        </w:numPr>
        <w:rPr/>
      </w:pPr>
      <w:r>
        <w:rPr>
          <w:lang w:val="en-US"/>
        </w:rPr>
        <w:t>Hujjat nashringizning xalqaro jurnali</w:t>
      </w:r>
    </w:p>
    <w:p>
      <w:pPr>
        <w:pStyle w:val="style179"/>
        <w:numPr>
          <w:ilvl w:val="0"/>
          <w:numId w:val="18"/>
        </w:numPr>
        <w:rPr/>
      </w:pPr>
      <w:r>
        <w:rPr>
          <w:lang w:val="en-US"/>
        </w:rPr>
        <w:t>Tadqiqotingizning ilmiy jurnali</w:t>
      </w:r>
    </w:p>
    <w:p>
      <w:pPr>
        <w:pStyle w:val="style179"/>
        <w:numPr>
          <w:ilvl w:val="0"/>
          <w:numId w:val="17"/>
        </w:numPr>
        <w:rPr/>
      </w:pPr>
      <w:r>
        <w:rPr>
          <w:lang w:val="en-US"/>
        </w:rPr>
        <w:t>Darhol qo'llab-quvvatlash</w:t>
      </w:r>
    </w:p>
    <w:p>
      <w:pPr>
        <w:pStyle w:val="style179"/>
        <w:numPr>
          <w:ilvl w:val="0"/>
          <w:numId w:val="16"/>
        </w:numPr>
        <w:rPr/>
      </w:pPr>
      <w:r>
        <w:rPr>
          <w:lang w:val="en-US"/>
        </w:rPr>
        <w:t>Yuqori iqtiboslar bilan ochiq jurnal</w:t>
      </w:r>
    </w:p>
    <w:p>
      <w:pPr>
        <w:pStyle w:val="style179"/>
        <w:numPr>
          <w:ilvl w:val="0"/>
          <w:numId w:val="15"/>
        </w:numPr>
        <w:rPr/>
      </w:pPr>
      <w:r>
        <w:rPr>
          <w:lang w:val="en-US"/>
        </w:rPr>
        <w:t>Har bir hujjat uchun DOI</w:t>
      </w:r>
    </w:p>
    <w:p>
      <w:pPr>
        <w:pStyle w:val="style179"/>
        <w:numPr>
          <w:ilvl w:val="0"/>
          <w:numId w:val="14"/>
        </w:numPr>
        <w:rPr/>
      </w:pPr>
      <w:r>
        <w:rPr>
          <w:lang w:val="en-US"/>
        </w:rPr>
        <w:t>Har bir muallifga nashr etilganligi to'g'risida individual guvohnoma (yumshoq nusxa) taqdim etadi</w:t>
      </w:r>
    </w:p>
    <w:p>
      <w:pPr>
        <w:pStyle w:val="style179"/>
        <w:numPr>
          <w:ilvl w:val="0"/>
          <w:numId w:val="13"/>
        </w:numPr>
        <w:rPr/>
      </w:pPr>
      <w:r>
        <w:rPr>
          <w:lang w:val="en-US"/>
        </w:rPr>
        <w:t>Nashr qilish uchun nominal to'lovlar</w:t>
      </w:r>
    </w:p>
    <w:p>
      <w:pPr>
        <w:pStyle w:val="style179"/>
        <w:numPr>
          <w:ilvl w:val="0"/>
          <w:numId w:val="12"/>
        </w:numPr>
        <w:rPr/>
      </w:pPr>
      <w:r>
        <w:rPr>
          <w:lang w:val="en-US"/>
        </w:rPr>
        <w:t>Yashirin to'lovlar yo'q</w:t>
      </w:r>
    </w:p>
    <w:p>
      <w:pPr>
        <w:pStyle w:val="style179"/>
        <w:numPr>
          <w:ilvl w:val="0"/>
          <w:numId w:val="11"/>
        </w:numPr>
        <w:rPr/>
      </w:pPr>
      <w:r>
        <w:rPr>
          <w:lang w:val="en-US"/>
        </w:rPr>
        <w:t>Yuqori indekslangan jurnal</w:t>
      </w:r>
    </w:p>
    <w:p>
      <w:pPr>
        <w:pStyle w:val="style179"/>
        <w:numPr>
          <w:ilvl w:val="0"/>
          <w:numId w:val="10"/>
        </w:numPr>
        <w:rPr/>
      </w:pPr>
      <w:r>
        <w:rPr>
          <w:lang w:val="en-US"/>
        </w:rPr>
        <w:t>Ilmiy nashriyot uchun ikki tomonlama ko'r-ko'rona sharh</w:t>
      </w:r>
    </w:p>
    <w:p>
      <w:pPr>
        <w:pStyle w:val="style179"/>
        <w:numPr>
          <w:ilvl w:val="0"/>
          <w:numId w:val="9"/>
        </w:numPr>
        <w:rPr/>
      </w:pPr>
      <w:r>
        <w:rPr>
          <w:lang w:val="en-US"/>
        </w:rPr>
        <w:t>SSL bilan himoyalangan</w:t>
      </w:r>
    </w:p>
    <w:p>
      <w:pPr>
        <w:pStyle w:val="style0"/>
        <w:rPr>
          <w:lang w:val="en-US"/>
        </w:rPr>
      </w:pPr>
    </w:p>
    <w:p>
      <w:pPr>
        <w:pStyle w:val="style0"/>
        <w:rPr>
          <w:b/>
          <w:bCs/>
        </w:rPr>
      </w:pPr>
      <w:r>
        <w:rPr>
          <w:b/>
          <w:bCs/>
          <w:lang w:val="en-US"/>
        </w:rPr>
        <w:t>Jurnalning muhim ma'lumotlari:</w:t>
      </w:r>
    </w:p>
    <w:p>
      <w:pPr>
        <w:pStyle w:val="style0"/>
        <w:rPr/>
      </w:pPr>
      <w:r>
        <w:rPr>
          <w:lang w:val="en-US"/>
        </w:rPr>
        <w:t>Chastotasi: yiliga 12 ta nashr</w:t>
      </w:r>
    </w:p>
    <w:p>
      <w:pPr>
        <w:pStyle w:val="style0"/>
        <w:rPr/>
      </w:pPr>
      <w:r>
        <w:rPr>
          <w:lang w:val="en-US"/>
        </w:rPr>
        <w:t>Intizom: ko'p tarmoqli</w:t>
      </w:r>
    </w:p>
    <w:p>
      <w:pPr>
        <w:pStyle w:val="style0"/>
        <w:rPr/>
      </w:pPr>
      <w:r>
        <w:rPr>
          <w:lang w:val="en-US"/>
        </w:rPr>
        <w:t>Xalqaro litsenziya: -</w:t>
      </w:r>
    </w:p>
    <w:p>
      <w:pPr>
        <w:pStyle w:val="style0"/>
        <w:rPr/>
      </w:pPr>
      <w:r>
        <w:rPr>
          <w:lang w:val="en-US"/>
        </w:rPr>
        <w:t>Taqdim etishning oxirgi muddati: yil davomida</w:t>
      </w:r>
    </w:p>
    <w:p>
      <w:pPr>
        <w:pStyle w:val="style0"/>
        <w:rPr/>
      </w:pPr>
      <w:r>
        <w:rPr>
          <w:lang w:val="en-US"/>
        </w:rPr>
        <w:t>Qabul qilish holati: 1-2-3 hafta</w:t>
      </w:r>
    </w:p>
    <w:p>
      <w:pPr>
        <w:pStyle w:val="style0"/>
        <w:rPr/>
      </w:pPr>
      <w:r>
        <w:rPr>
          <w:lang w:val="en-US"/>
        </w:rPr>
        <w:t>Nashr muddati: 1-2-3 hafta</w:t>
      </w:r>
    </w:p>
    <w:p>
      <w:pPr>
        <w:pStyle w:val="style0"/>
        <w:rPr>
          <w:lang w:val="en-US"/>
        </w:rPr>
      </w:pPr>
    </w:p>
    <w:p>
      <w:pPr>
        <w:pStyle w:val="style0"/>
        <w:rPr>
          <w:b/>
          <w:bCs/>
        </w:rPr>
      </w:pPr>
      <w:r>
        <w:rPr>
          <w:b/>
          <w:bCs/>
          <w:lang w:val="en-US"/>
        </w:rPr>
        <w:t>Taqdimotlar</w:t>
      </w:r>
    </w:p>
    <w:p>
      <w:pPr>
        <w:pStyle w:val="style0"/>
        <w:rPr/>
      </w:pPr>
      <w:r>
        <w:rPr>
          <w:lang w:val="en-US"/>
        </w:rPr>
        <w:t>Taqdim etish uchun tizimga kiring yoki roʻyxatdan oʻting.</w:t>
      </w:r>
    </w:p>
    <w:p>
      <w:pPr>
        <w:pStyle w:val="style0"/>
        <w:rPr/>
      </w:pPr>
    </w:p>
    <w:p>
      <w:pPr>
        <w:pStyle w:val="style0"/>
        <w:rPr>
          <w:b/>
          <w:bCs/>
          <w:color w:val="000000"/>
        </w:rPr>
      </w:pPr>
      <w:r>
        <w:rPr>
          <w:b/>
          <w:bCs/>
          <w:color w:val="000000"/>
          <w:lang w:val="en-US"/>
        </w:rPr>
        <w:t>Taqdim etishni tayyorlash nazorat ro'yxati</w:t>
      </w:r>
    </w:p>
    <w:p>
      <w:pPr>
        <w:pStyle w:val="style0"/>
        <w:rPr/>
      </w:pPr>
      <w:r>
        <w:rPr>
          <w:lang w:val="en-US"/>
        </w:rPr>
        <w:t>Taqdim etish jarayonining bir qismi sifatida mualliflar o‘z maqolalarining quyidagi bandlarning barchasiga muvofiqligini tekshirishlari shart va taqdimotlar ushbu ko‘rsatmalarga rioya qilmagan mualliflarga qaytarilishi mumkin.</w:t>
      </w:r>
    </w:p>
    <w:p>
      <w:pPr>
        <w:pStyle w:val="style179"/>
        <w:numPr>
          <w:ilvl w:val="0"/>
          <w:numId w:val="2"/>
        </w:numPr>
        <w:rPr/>
      </w:pPr>
      <w:r>
        <w:rPr>
          <w:lang w:val="en-US"/>
        </w:rPr>
        <w:t>Taqdimot ilgari nashr etilmagan va boshqa jurnalda ko'rib chiqilmagan (yoki muharrirga izohlarda tushuntirish berilgan).</w:t>
      </w:r>
    </w:p>
    <w:p>
      <w:pPr>
        <w:pStyle w:val="style179"/>
        <w:numPr>
          <w:ilvl w:val="0"/>
          <w:numId w:val="3"/>
        </w:numPr>
        <w:rPr/>
      </w:pPr>
      <w:r>
        <w:rPr>
          <w:lang w:val="en-US"/>
        </w:rPr>
        <w:t>Taqdim etilgan fayl OpenOffice, Microsoft Word yoki RTF hujjat fayl formatida.</w:t>
      </w:r>
    </w:p>
    <w:p>
      <w:pPr>
        <w:pStyle w:val="style179"/>
        <w:numPr>
          <w:ilvl w:val="0"/>
          <w:numId w:val="4"/>
        </w:numPr>
        <w:rPr/>
      </w:pPr>
      <w:r>
        <w:rPr>
          <w:lang w:val="en-US"/>
        </w:rPr>
        <w:t>Mavjud bo'lsa, havolalar uchun URL manzillar berilgan.</w:t>
      </w:r>
    </w:p>
    <w:p>
      <w:pPr>
        <w:pStyle w:val="style179"/>
        <w:numPr>
          <w:ilvl w:val="0"/>
          <w:numId w:val="5"/>
        </w:numPr>
        <w:rPr/>
      </w:pPr>
      <w:r>
        <w:rPr>
          <w:lang w:val="en-US"/>
        </w:rPr>
        <w:t>Matn bir intervalli; 14 nuqtali shriftdan foydalanadi; tagiga chizish oʻrniga kursivdan foydalanadi (URLlardan tashqari); va barcha rasmlar, rasmlar va jadvallar matn oxirida joylashtiriladi.</w:t>
      </w:r>
    </w:p>
    <w:p>
      <w:pPr>
        <w:pStyle w:val="style179"/>
        <w:numPr>
          <w:ilvl w:val="0"/>
          <w:numId w:val="6"/>
        </w:numPr>
        <w:rPr/>
      </w:pPr>
      <w:r>
        <w:rPr>
          <w:lang w:val="en-US"/>
        </w:rPr>
        <w:t>Matn mualliflik yo‘riqnomasida ko‘rsatilgan stilistik va bibliografik talablarga javob beradi.</w:t>
      </w:r>
    </w:p>
    <w:p>
      <w:pPr>
        <w:pStyle w:val="style179"/>
        <w:numPr>
          <w:ilvl w:val="0"/>
          <w:numId w:val="7"/>
        </w:numPr>
        <w:rPr/>
      </w:pPr>
      <w:r>
        <w:rPr>
          <w:lang w:val="en-US"/>
        </w:rPr>
        <w:t>Matn mualliflik yo‘riqnomasida ko‘rsatilgan stilistik va bibliografik talablarga javob beradi.</w:t>
      </w:r>
    </w:p>
    <w:p>
      <w:pPr>
        <w:pStyle w:val="style0"/>
        <w:rPr>
          <w:b/>
          <w:bCs/>
          <w:color w:val="000000"/>
        </w:rPr>
      </w:pPr>
      <w:r>
        <w:rPr>
          <w:b/>
          <w:bCs/>
          <w:color w:val="000000"/>
          <w:lang w:val="en-US"/>
        </w:rPr>
        <w:t>Maqolalar</w:t>
      </w:r>
    </w:p>
    <w:p>
      <w:pPr>
        <w:pStyle w:val="style0"/>
        <w:rPr/>
      </w:pPr>
      <w:r>
        <w:rPr>
          <w:lang w:val="en-US"/>
        </w:rPr>
        <w:t>Bo'lim standart siyosati</w:t>
      </w:r>
    </w:p>
    <w:p>
      <w:pPr>
        <w:pStyle w:val="style0"/>
        <w:rPr>
          <w:b/>
          <w:bCs/>
          <w:color w:val="000000"/>
        </w:rPr>
      </w:pPr>
      <w:r>
        <w:rPr>
          <w:b/>
          <w:bCs/>
          <w:color w:val="000000"/>
          <w:lang w:val="en-US"/>
        </w:rPr>
        <w:t>Maxfiylik bayonoti</w:t>
      </w:r>
    </w:p>
    <w:p>
      <w:pPr>
        <w:pStyle w:val="style0"/>
        <w:rPr/>
      </w:pPr>
      <w:r>
        <w:rPr>
          <w:lang w:val="en-US"/>
        </w:rPr>
        <w:t>Ushbu jurnal saytiga kiritilgan ismlar va elektron pochta manzillari faqat ushbu jurnalning ko'rsatilgan maqsadlari uchun ishlatiladi va boshqa maqsadlarda yoki boshqa tomonlarga taqdim etilmaydi.</w:t>
      </w:r>
    </w:p>
    <w:p>
      <w:pPr>
        <w:pStyle w:val="style0"/>
        <w:rPr>
          <w:b/>
          <w:bCs/>
          <w:lang w:val="en-US"/>
        </w:rPr>
      </w:pPr>
    </w:p>
    <w:p>
      <w:pPr>
        <w:pStyle w:val="style0"/>
        <w:rPr>
          <w:b/>
          <w:bCs/>
        </w:rPr>
      </w:pPr>
      <w:r>
        <w:rPr>
          <w:b/>
          <w:bCs/>
          <w:lang w:val="en-US"/>
        </w:rPr>
        <w:t>Nashr To'lovlar</w:t>
      </w:r>
    </w:p>
    <w:p>
      <w:pPr>
        <w:pStyle w:val="style0"/>
        <w:rPr/>
      </w:pPr>
      <w:r>
        <w:rPr>
          <w:lang w:val="en-US"/>
        </w:rPr>
        <w:t>Qabul qilingan har bir maqola mualliflari qayta ishlash to'lovini to'lashlari kerak, bu juda nominal to'lovlar har bir muallifga sertifikatlarning  nusxasini o'z ichiga oladi. Hujjatni ko'rib chiqish  uchun hech qanday to'lov olinmaydi, lekin Scholarzest-da maqola chop etish tahririyat xarajatlarini qoplash uchun juda kam miqdorda hujjatni qayta ishlash to'lovlarini talab qiladi va Hujjat nashrga qabul qilingandan keyin yuboruvchi muallif tomonidan to'lanadi.</w:t>
      </w:r>
    </w:p>
    <w:p>
      <w:pPr>
        <w:pStyle w:val="style0"/>
        <w:rPr/>
      </w:pPr>
    </w:p>
    <w:p>
      <w:pPr>
        <w:pStyle w:val="style0"/>
        <w:rPr/>
      </w:pPr>
      <w:r>
        <w:rPr>
          <w:lang w:val="en-US"/>
        </w:rPr>
        <w:t>Scholarzest nashriyot toʻlovi quyi darajadagi siyosatiga amal qiladi. Nashr to'lovlari barcha mualliflar uchun bir xil.</w:t>
      </w:r>
    </w:p>
    <w:p>
      <w:pPr>
        <w:pStyle w:val="style0"/>
        <w:rPr>
          <w:b/>
          <w:bCs/>
          <w:lang w:val="en-US"/>
        </w:rPr>
      </w:pPr>
    </w:p>
    <w:p>
      <w:pPr>
        <w:pStyle w:val="style0"/>
        <w:rPr>
          <w:b/>
          <w:bCs/>
        </w:rPr>
      </w:pPr>
      <w:r>
        <w:rPr>
          <w:b/>
          <w:bCs/>
          <w:lang w:val="en-US"/>
        </w:rPr>
        <w:t>Maqolani qayta ishlash to'lovlari/nashr to'lovlari/nashr to'lovlari</w:t>
      </w:r>
    </w:p>
    <w:p>
      <w:pPr>
        <w:pStyle w:val="style0"/>
        <w:rPr/>
      </w:pPr>
      <w:r>
        <w:rPr>
          <w:lang w:val="en-US"/>
        </w:rPr>
        <w:t>= $20 (10 sahifa va 3 muallifgacha)</w:t>
      </w:r>
    </w:p>
    <w:p>
      <w:pPr>
        <w:pStyle w:val="style0"/>
        <w:rPr/>
      </w:pPr>
      <w:r>
        <w:rPr>
          <w:lang w:val="en-US"/>
        </w:rPr>
        <w:t>= $30 (10 dan ortiq sahifalar yoki/va 3 dan ortiq mualliflar uchun)</w:t>
      </w:r>
    </w:p>
    <w:p>
      <w:pPr>
        <w:pStyle w:val="style0"/>
        <w:rPr/>
      </w:pPr>
    </w:p>
    <w:p>
      <w:pPr>
        <w:pStyle w:val="style0"/>
        <w:rPr>
          <w:b/>
          <w:bCs/>
        </w:rPr>
      </w:pPr>
      <w:r>
        <w:rPr>
          <w:b/>
          <w:bCs/>
          <w:lang w:val="en-US"/>
        </w:rPr>
        <w:t>Qayta ishlash to'lovi quyidagilarni o'z ichiga oladi:</w:t>
      </w:r>
    </w:p>
    <w:p>
      <w:pPr>
        <w:pStyle w:val="style0"/>
        <w:rPr/>
      </w:pPr>
      <w:r>
        <w:rPr>
          <w:lang w:val="en-US"/>
        </w:rPr>
        <w:t>Maqolaning barcha mualliflariga shaxsiy sertifikat nusxasi</w:t>
      </w:r>
    </w:p>
    <w:p>
      <w:pPr>
        <w:pStyle w:val="style0"/>
        <w:rPr/>
      </w:pPr>
      <w:r>
        <w:rPr>
          <w:lang w:val="en-US"/>
        </w:rPr>
        <w:t>Muallifni ro'yxatdan o'tkazish to'lovlari</w:t>
      </w:r>
    </w:p>
    <w:p>
      <w:pPr>
        <w:pStyle w:val="style0"/>
        <w:rPr/>
      </w:pPr>
      <w:r>
        <w:rPr>
          <w:lang w:val="en-US"/>
        </w:rPr>
        <w:t xml:space="preserve">Tahririyat toʻlovi </w:t>
      </w:r>
    </w:p>
    <w:p>
      <w:pPr>
        <w:pStyle w:val="style0"/>
        <w:rPr/>
      </w:pPr>
      <w:r>
        <w:rPr>
          <w:lang w:val="en-US"/>
        </w:rPr>
        <w:t>Bitta ilmiy maqolaning onlayn nashri</w:t>
      </w:r>
    </w:p>
    <w:p>
      <w:pPr>
        <w:pStyle w:val="style0"/>
        <w:rPr/>
      </w:pPr>
      <w:r>
        <w:rPr>
          <w:lang w:val="en-US"/>
        </w:rPr>
        <w:t>Indekslash, jurnal infratuzilmalarini saqlash</w:t>
      </w:r>
    </w:p>
    <w:p>
      <w:pPr>
        <w:pStyle w:val="style0"/>
        <w:rPr/>
      </w:pPr>
    </w:p>
    <w:p>
      <w:pPr>
        <w:pStyle w:val="style0"/>
        <w:rPr>
          <w:b/>
          <w:bCs/>
        </w:rPr>
      </w:pPr>
      <w:r>
        <w:rPr>
          <w:b/>
          <w:bCs/>
          <w:lang w:val="en-US"/>
        </w:rPr>
        <w:t>Ishlov berish to'lovlarini to'lash:</w:t>
      </w:r>
    </w:p>
    <w:p>
      <w:pPr>
        <w:pStyle w:val="style0"/>
        <w:rPr/>
      </w:pPr>
      <w:r>
        <w:rPr>
          <w:lang w:val="en-US"/>
        </w:rPr>
        <w:t>Quyida qayta ishlash to'lovlarini to'lash usullari keltirilgan</w:t>
      </w:r>
    </w:p>
    <w:p>
      <w:pPr>
        <w:pStyle w:val="style0"/>
        <w:rPr/>
      </w:pPr>
      <w:r>
        <w:rPr>
          <w:lang w:val="en-US"/>
        </w:rPr>
        <w:t>CLICK/Payme/UPay yordamida onlayn toʻlov qiling.</w:t>
      </w:r>
    </w:p>
    <w:p>
      <w:pPr>
        <w:pStyle w:val="style0"/>
        <w:rPr/>
      </w:pPr>
      <w:r>
        <w:rPr>
          <w:lang w:val="en-US"/>
        </w:rPr>
        <w:t>Eslatma: Hisob ma'lumotlari qabul qilinganligi to'g'risidagi bildirishnomada siz bilan baham ko'riladi.</w:t>
      </w:r>
    </w:p>
    <w:p>
      <w:pPr>
        <w:pStyle w:val="style0"/>
        <w:rPr>
          <w:b/>
          <w:bCs/>
        </w:rPr>
      </w:pPr>
    </w:p>
    <w:p>
      <w:pPr>
        <w:pStyle w:val="style0"/>
        <w:rPr/>
      </w:pPr>
    </w:p>
    <w:p>
      <w:pPr>
        <w:pStyle w:val="style0"/>
        <w:shd w:val="clear" w:color="ffffff" w:fill="ffffff"/>
        <w:spacing w:after="300" w:lineRule="atLeast" w:line="450"/>
        <w:jc w:val="left"/>
        <w:outlineLvl w:val="0"/>
        <w:rPr>
          <w:b/>
          <w:bCs/>
        </w:rPr>
      </w:pPr>
      <w:r>
        <w:rPr>
          <w:b/>
          <w:bCs/>
          <w:lang w:val="en-US"/>
        </w:rPr>
        <w:t>Aloqa</w:t>
      </w:r>
    </w:p>
    <w:p>
      <w:pPr>
        <w:pStyle w:val="style0"/>
        <w:shd w:val="clear" w:color="ffffff" w:fill="ffffff"/>
        <w:spacing w:after="150" w:lineRule="auto" w:line="240"/>
        <w:jc w:val="left"/>
        <w:rPr/>
      </w:pPr>
      <w:r>
        <w:rPr>
          <w:rFonts w:ascii="Calibri" w:cs="Arial" w:eastAsia="宋体" w:hAnsi="Calibri" w:hint="default"/>
          <w:b w:val="false"/>
          <w:bCs w:val="false"/>
          <w:i w:val="false"/>
          <w:iCs w:val="false"/>
          <w:color w:val="auto"/>
          <w:sz w:val="22"/>
          <w:szCs w:val="22"/>
          <w:highlight w:val="none"/>
          <w:vertAlign w:val="baseline"/>
          <w:em w:val="none"/>
          <w:lang w:val="en-US" w:eastAsia="ru-RU"/>
        </w:rPr>
        <w:t>Innovatsiya:</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Ijtimoiy</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fanlar</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va</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tadqiqotlar</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jurnali</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140100,</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O‘zbekiston</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ko‘chasi,</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27,</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Samarqand,</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O‘zbekiston</w:t>
      </w:r>
    </w:p>
    <w:p>
      <w:pPr>
        <w:pStyle w:val="style0"/>
        <w:shd w:val="clear" w:color="ffffff" w:fill="ffffff"/>
        <w:spacing w:after="150" w:lineRule="auto" w:line="240"/>
        <w:jc w:val="left"/>
        <w:rPr/>
      </w:pPr>
    </w:p>
    <w:p>
      <w:pPr>
        <w:pStyle w:val="style0"/>
        <w:shd w:val="clear" w:color="ffffff" w:fill="ffffff"/>
        <w:spacing w:after="150" w:lineRule="auto" w:line="240"/>
        <w:jc w:val="left"/>
        <w:rPr/>
      </w:pPr>
      <w:r>
        <w:rPr>
          <w:rFonts w:ascii="Calibri" w:cs="Arial" w:eastAsia="宋体" w:hAnsi="Calibri" w:hint="default"/>
          <w:b/>
          <w:bCs/>
          <w:i w:val="false"/>
          <w:iCs w:val="false"/>
          <w:color w:val="auto"/>
          <w:sz w:val="22"/>
          <w:szCs w:val="22"/>
          <w:highlight w:val="none"/>
          <w:vertAlign w:val="baseline"/>
          <w:em w:val="none"/>
          <w:lang w:val="en-US" w:eastAsia="ru-RU"/>
        </w:rPr>
        <w:t>Asosiy</w:t>
      </w:r>
      <w:r>
        <w:rPr>
          <w:rFonts w:ascii="Calibri" w:cs="Arial" w:eastAsia="宋体" w:hAnsi="Calibri" w:hint="default"/>
          <w:b/>
          <w:bCs/>
          <w:i w:val="false"/>
          <w:iCs w:val="false"/>
          <w:color w:val="auto"/>
          <w:sz w:val="22"/>
          <w:szCs w:val="22"/>
          <w:highlight w:val="none"/>
          <w:vertAlign w:val="baseline"/>
          <w:em w:val="none"/>
          <w:lang w:val="en-US" w:eastAsia="ru-RU"/>
        </w:rPr>
        <w:t xml:space="preserve"> </w:t>
      </w:r>
      <w:r>
        <w:rPr>
          <w:rFonts w:ascii="Calibri" w:cs="Arial" w:eastAsia="宋体" w:hAnsi="Calibri" w:hint="default"/>
          <w:b/>
          <w:bCs/>
          <w:i w:val="false"/>
          <w:iCs w:val="false"/>
          <w:color w:val="auto"/>
          <w:sz w:val="22"/>
          <w:szCs w:val="22"/>
          <w:highlight w:val="none"/>
          <w:vertAlign w:val="baseline"/>
          <w:em w:val="none"/>
          <w:lang w:val="en-US" w:eastAsia="ru-RU"/>
        </w:rPr>
        <w:t>aloqa</w:t>
      </w:r>
    </w:p>
    <w:p>
      <w:pPr>
        <w:pStyle w:val="style0"/>
        <w:shd w:val="clear" w:color="ffffff" w:fill="ffffff"/>
        <w:spacing w:after="150" w:lineRule="auto" w:line="240"/>
        <w:jc w:val="left"/>
        <w:rPr/>
      </w:pPr>
      <w:r>
        <w:rPr>
          <w:rFonts w:ascii="Calibri" w:cs="Arial" w:eastAsia="宋体" w:hAnsi="Calibri" w:hint="default"/>
          <w:b w:val="false"/>
          <w:bCs w:val="false"/>
          <w:i w:val="false"/>
          <w:iCs w:val="false"/>
          <w:color w:val="auto"/>
          <w:sz w:val="22"/>
          <w:szCs w:val="22"/>
          <w:highlight w:val="none"/>
          <w:vertAlign w:val="baseline"/>
          <w:em w:val="none"/>
          <w:lang w:val="en-US" w:eastAsia="ru-RU"/>
        </w:rPr>
        <w:t>Tojiboev</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Islom</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Odil</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o`g`li</w:t>
      </w:r>
    </w:p>
    <w:p>
      <w:pPr>
        <w:pStyle w:val="style0"/>
        <w:shd w:val="clear" w:color="ffffff" w:fill="ffffff"/>
        <w:spacing w:after="150" w:lineRule="auto" w:line="240"/>
        <w:jc w:val="left"/>
        <w:rPr/>
      </w:pPr>
      <w:r>
        <w:rPr>
          <w:rFonts w:ascii="Calibri" w:cs="Arial" w:eastAsia="宋体" w:hAnsi="Calibri" w:hint="default"/>
          <w:b/>
          <w:bCs/>
          <w:i w:val="false"/>
          <w:iCs w:val="false"/>
          <w:color w:val="auto"/>
          <w:sz w:val="22"/>
          <w:szCs w:val="22"/>
          <w:highlight w:val="none"/>
          <w:vertAlign w:val="baseline"/>
          <w:em w:val="none"/>
          <w:lang w:val="en-US" w:eastAsia="ru-RU"/>
        </w:rPr>
        <w:t>Bosh muharrir</w:t>
      </w:r>
      <w:r>
        <w:rPr>
          <w:rFonts w:ascii="Calibri" w:cs="Arial" w:eastAsia="宋体" w:hAnsi="Calibri" w:hint="default"/>
          <w:b w:val="false"/>
          <w:bCs w:val="false"/>
          <w:i w:val="false"/>
          <w:iCs w:val="false"/>
          <w:color w:val="auto"/>
          <w:sz w:val="22"/>
          <w:szCs w:val="22"/>
          <w:highlight w:val="none"/>
          <w:vertAlign w:val="baseline"/>
          <w:em w:val="none"/>
          <w:lang w:val="en-US" w:eastAsia="ru-RU"/>
        </w:rPr>
        <w:t xml:space="preserve"> </w:t>
      </w:r>
      <w:r>
        <w:rPr>
          <w:rFonts w:ascii="Calibri" w:cs="Arial" w:eastAsia="宋体" w:hAnsi="Calibri" w:hint="default"/>
          <w:b w:val="false"/>
          <w:bCs w:val="false"/>
          <w:i w:val="false"/>
          <w:iCs w:val="false"/>
          <w:color w:val="auto"/>
          <w:sz w:val="22"/>
          <w:szCs w:val="22"/>
          <w:highlight w:val="none"/>
          <w:vertAlign w:val="baseline"/>
          <w:em w:val="none"/>
          <w:lang w:val="en-US" w:eastAsia="ru-RU"/>
        </w:rPr>
        <w:t>telefon+99899-777-72-10</w:t>
      </w:r>
    </w:p>
    <w:p>
      <w:pPr>
        <w:pStyle w:val="style0"/>
        <w:rPr/>
      </w:pPr>
      <w:r>
        <w:rPr>
          <w:rFonts w:ascii="Calibri" w:cs="Arial" w:eastAsia="宋体" w:hAnsi="Calibri" w:hint="default"/>
          <w:b w:val="false"/>
          <w:bCs w:val="false"/>
          <w:i w:val="false"/>
          <w:iCs w:val="false"/>
          <w:color w:val="auto"/>
          <w:sz w:val="22"/>
          <w:szCs w:val="22"/>
          <w:highlight w:val="none"/>
          <w:vertAlign w:val="baseline"/>
          <w:em w:val="none"/>
          <w:lang w:val="en-US" w:eastAsia="ru-RU"/>
        </w:rPr>
        <w:t>islomtojiboyevodilovich@gmail.com</w:t>
      </w:r>
    </w:p>
    <w:p>
      <w:pPr>
        <w:pStyle w:val="style0"/>
        <w:rPr/>
      </w:pPr>
    </w:p>
    <w:p>
      <w:pPr>
        <w:pStyle w:val="style0"/>
        <w:rPr/>
      </w:pPr>
    </w:p>
    <w:p>
      <w:pPr>
        <w:pStyle w:val="style0"/>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4002E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Arial">
    <w:altName w:val="Arial"/>
    <w:panose1 w:val="020b0604020000020204"/>
    <w:charset w:val="cc"/>
    <w:family w:val="swiss"/>
    <w:pitch w:val="variable"/>
    <w:sig w:usb0="E0002EFF" w:usb1="C000785B" w:usb2="00000009" w:usb3="00000000" w:csb0="000001FF" w:csb1="00000000"/>
  </w:font>
  <w:font w:name="Segoe UI">
    <w:altName w:val="Segoe UI"/>
    <w:panose1 w:val="020b0502040000020203"/>
    <w:charset w:val="cc"/>
    <w:family w:val="swiss"/>
    <w:pitch w:val="variable"/>
    <w:sig w:usb0="E4002EFF" w:usb1="C000E47F" w:usb2="00000009" w:usb3="00000000" w:csb0="000001FF" w:csb1="00000000"/>
  </w:font>
  <w:font w:name="Helvetica">
    <w:altName w:val="Helvetica"/>
    <w:panose1 w:val="020b0604020000020204"/>
    <w:charset w:val="00"/>
    <w:family w:val="swiss"/>
    <w:pitch w:val="variable"/>
    <w:sig w:usb0="00000003" w:usb1="00000000" w:usb2="00000000" w:usb3="00000000" w:csb0="00000001" w:csb1="00000000"/>
  </w:font>
  <w:font w:name="Cambria">
    <w:altName w:val="Cambria"/>
    <w:panose1 w:val="02040503050000030204"/>
    <w:charset w:val="cc"/>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2"/>
        <w:szCs w:val="22"/>
        <w:lang w:bidi="ar-SA" w:eastAsia="ru-RU"/>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Заголовок 1 Знак"/>
    <w:basedOn w:val="style65"/>
    <w:next w:val="style4097"/>
    <w:link w:val="style1"/>
    <w:uiPriority w:val="9"/>
    <w:rPr>
      <w:rFonts w:ascii="Times New Roman" w:cs="Times New Roman" w:eastAsia="Times New Roman" w:hAnsi="Times New Roman"/>
      <w:b/>
      <w:bCs/>
      <w:kern w:val="36"/>
      <w:sz w:val="48"/>
      <w:szCs w:val="4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839</Words>
  <Pages>2</Pages>
  <Characters>6212</Characters>
  <Application>WPS Office</Application>
  <DocSecurity>0</DocSecurity>
  <Paragraphs>96</Paragraphs>
  <ScaleCrop>false</ScaleCrop>
  <Company>Reanimator Extreme Edition</Company>
  <LinksUpToDate>false</LinksUpToDate>
  <CharactersWithSpaces>6981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2022-08-09T09:25:00Z</dcterms:created>
  <dc:creator>User</dc:creator>
  <lastModifiedBy>SM-A127F</lastModifiedBy>
  <dcterms:modified xsi:type="dcterms:W3CDTF">2022-08-10T06:19:32Z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416e1f3c2acd42aa9d17fb3e4afc9846</vt:lpwstr>
  </property>
</Properties>
</file>