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docx" ContentType="application/vnd.openxmlformats-officedocument.wordprocessingml.docume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12.odttf" ContentType="application/vnd.openxmlformats-officedocument.obfuscatedFont"/>
  <Override PartName="/word/fonts/font9.odttf" ContentType="application/vnd.openxmlformats-officedocument.obfuscatedFont"/>
  <Override PartName="/word/media/image1.emf" ContentType="image/x-emf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University of Information Technology and Sciences (UITS)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Department of Computer Science and Engineering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Course Title: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Software Engineering and System Analysis Lab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Course Code: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CSE 0613226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color w:val="5B9BD5"/>
          <w:sz w:val="36"/>
          <w:szCs w:val="36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Section: </w:t>
      </w:r>
    </w:p>
    <w:p>
      <w:pPr>
        <w:pStyle w:val="normal1"/>
        <w:pBdr>
          <w:top w:val="single" w:sz="4" w:space="1" w:color="000000"/>
          <w:left w:val="single" w:sz="4" w:space="4" w:color="000000"/>
          <w:right w:val="single" w:sz="4" w:space="4" w:color="000000"/>
        </w:pBdr>
        <w:spacing w:lineRule="auto" w:line="240" w:before="0" w:after="28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color w:val="5B9BD5"/>
          <w:sz w:val="36"/>
          <w:szCs w:val="36"/>
          <w:u w:val="single"/>
        </w:rPr>
        <w:t>Justification Form</w:t>
      </w:r>
    </w:p>
    <w:p>
      <w:pPr>
        <w:pStyle w:val="normal1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280" w:after="28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Design and Implementation of a Real-World Software Engineering System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Student Information</w:t>
      </w:r>
    </w:p>
    <w:tbl>
      <w:tblPr>
        <w:tblStyle w:val="Table1"/>
        <w:tblW w:w="94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07"/>
        <w:gridCol w:w="7743"/>
      </w:tblGrid>
      <w:tr>
        <w:trPr>
          <w:tblHeader w:val="true"/>
        </w:trPr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Information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Student Name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Mehedi Hassan Bhuiyan, Md. Masud Rahman, Hasib Al Mahmud Siddique, Rudro Antony Mrong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Student ID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0432320005101080, 0432320005101064, 0432320005101095, 0432320005101059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Course Title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Software Engineering and System Analysis Lab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Course Code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CSE 0613226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Section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6B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Semester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Spring 2024</w:t>
            </w:r>
          </w:p>
        </w:tc>
      </w:tr>
      <w:tr>
        <w:trPr/>
        <w:tc>
          <w:tcPr>
            <w:tcW w:w="170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Submission Date</w:t>
            </w:r>
          </w:p>
        </w:tc>
        <w:tc>
          <w:tcPr>
            <w:tcW w:w="774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May 20, 2026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Assignment Completion Justification Table</w:t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960"/>
        <w:gridCol w:w="1468"/>
        <w:gridCol w:w="1185"/>
        <w:gridCol w:w="947"/>
        <w:gridCol w:w="1860"/>
        <w:gridCol w:w="1273"/>
        <w:gridCol w:w="1667"/>
      </w:tblGrid>
      <w:tr>
        <w:trPr>
          <w:tblHeader w:val="true"/>
        </w:trPr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Question No.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Task Description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Knowledge Profile (KP)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CEP Mapping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Method/Approach Used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Engineering Justification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Tools/Resources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object w:dxaOrig="9638" w:dyaOrig="1701">
                <v:shapetype id="_x0000_tole_rId2" coordsize="21600,21600" o:spt="2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2" type="_x0000_tole_rId2" style="position:absolute;margin-left:-332.05pt;margin-top:0pt;width:481.9pt;height:85.05pt;mso-wrap-distance-right:0pt;mso-position-horizontal-relative:text;mso-position-vertical-relative:text" filled="f" o:ole="">
                  <v:imagedata r:id="rId3" o:title=""/>
                  <w10:wrap type="square"/>
                </v:shape>
                <o:OLEObject Type="Embed" ProgID="Word.Document.12" ShapeID="ole_rId2" DrawAspect="Content" ObjectID="_2118578879" r:id="rId2"/>
              </w:objec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Used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Q1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Requirement analysis and stakeholder identification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K2, K3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P3, P6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Conducted requirement gathering through user interviews and market research. Identified key stakeholders: Sellers seeking maximum profit and Buyers seeking minimum price. Addressed pain points like haggling fatigue and scam risks in C2C marketplaces.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system analysis (K2) to clearly define functional and non-functional constraints. Resolved conflicting goals (P6) by outlining a 3-chance restricted bidding system to balance buyer-seller power dynamically.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Notion for documentation, UML Diagrams (Use Case, Sequence) via Draw.io for system scoping.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Q2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System modeling and technology selection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K2, K4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P3, P4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Evaluated high-performance, lightweight tech stacks. Selected a modern JavaScript ecosystem (React/Next.js for Frontend, Node.js/Express for Backend, PostgreSQL for DB) to handle real-time interactivity.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Utilized specialized domain knowledge (K4) to select an architecture capable of real-time countdown synchronization. Handled the unfamiliar dual-pricing problem (P4) with a centralized REST approach.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Figma for UI/UX prototyping, Node.js for backend framework, Git for version control.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Q3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System architecture and database design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K3, K5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P3, P7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Designed a Client-Server RESTful architecture. Created a relational schema for Users, Listings, Bids, and Escrows, ensuring data integrity through foreign keys and strict database constraints.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engineering design knowledge (K5) to break down the interconnected sub-problems (P7) of simultaneous auctions and physical handover verifications into modular database components.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ERDPlus for ER Diagram, PostgreSQL (Neon) for database, DBeaver for query management.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Q4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System implementation and module development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K4, K5, K6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P4, P7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Developed the core 'Silent 3-Bid Arena' logic, integrating RGB tension feedback (Red/Yellow/Green based on bid percentage) and the Cryptographic Escrow code generation system.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practical engineering skills (K6) to resolve the unfamiliar problem of penny-bidding (P4) by implementing a mathematically restricted 3-chance auction mechanic.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Next.js/React, Express.js, Tailwind CSS for glassmorphism styling, JWT for token-based authentication.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Q5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Testing, validation, and debugging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K3, K4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P6, P7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Conducted manual and automated edge-case testing, focusing on simultaneous bid handling, client-server timer desynchronization, and strict validation of the 3-chance limit.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domain-specific analytical testing (K4) to ensure reliable handling of concurrent bids (P7) and secure cryptographic escrow matching to prevent fraud.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Postman for API testing, Jest for unit testing, Chrome DevTools for performance profiling.</w:t>
            </w:r>
          </w:p>
        </w:tc>
      </w:tr>
      <w:tr>
        <w:trPr/>
        <w:tc>
          <w:tcPr>
            <w:tcW w:w="96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Q6</w:t>
            </w:r>
          </w:p>
        </w:tc>
        <w:tc>
          <w:tcPr>
            <w:tcW w:w="146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Project management and documentation</w:t>
            </w:r>
          </w:p>
        </w:tc>
        <w:tc>
          <w:tcPr>
            <w:tcW w:w="118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K5, K6, K7</w:t>
            </w:r>
          </w:p>
        </w:tc>
        <w:tc>
          <w:tcPr>
            <w:tcW w:w="94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P2, P6</w:t>
            </w:r>
          </w:p>
        </w:tc>
        <w:tc>
          <w:tcPr>
            <w:tcW w:w="186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Adopted Agile methodologies (Sprints/Kanban) and maintained a repository-driven knowledge base. Authored comprehensive SRS, KPA mapping, and Project Proposal documents.</w:t>
            </w:r>
          </w:p>
        </w:tc>
        <w:tc>
          <w:tcPr>
            <w:tcW w:w="127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Maintained ethical and professional standards (K7) while managing stakeholder requirements (P6) and conflicting technical constraints (P2) throughout the SDLC.</w:t>
            </w:r>
          </w:p>
        </w:tc>
        <w:tc>
          <w:tcPr>
            <w:tcW w:w="1667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GitHub for version control, Trello for task management, Markdown for documentation, MS Word.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Engineering Design Decision Summary</w:t>
      </w:r>
    </w:p>
    <w:tbl>
      <w:tblPr>
        <w:tblStyle w:val="Table3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697"/>
        <w:gridCol w:w="1093"/>
        <w:gridCol w:w="1265"/>
        <w:gridCol w:w="1855"/>
        <w:gridCol w:w="1792"/>
        <w:gridCol w:w="1658"/>
      </w:tblGrid>
      <w:tr>
        <w:trPr>
          <w:tblHeader w:val="true"/>
        </w:trPr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Design Parameter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Selected Option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Reason for Selection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Performance Consideration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Reliability Consideration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Cost Consideration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System Architecture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Client-Server RESTful Architecture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Simplifies separation of concerns, allowing independent scaling of frontend and backend services.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Low latency due to lightweight JSON payloads and stateless nodes.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High availability and fault tolerance through decentralized client rendering.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Cost-effective, utilizing free-tier cloud platforms for hosting.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Backend Technology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Node.js / Express.js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Non-blocking asynchronous I/O is ideal for handling concurrent bidding requests without blocking the event loop.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High concurrency handling with low overhead, ensuring fast bid validations.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Robust, mature ecosystem (npm) ensuring stable runtime performance.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Open-source and entirely free to use.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Database System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PostgreSQL (Neon Serverless)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Relational integrity is mandatory for financial/auction data to prevent double-bidding and state corruption.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Optimized indexing on active queries; Neon provides auto-scaling serverless resources.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Strict ACID compliance guarantees that bids and escrow states remain consistent.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Generous free tiers available for academic and small-scale projects.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Frontend Technology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React (Next.js) with Tailwind CSS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Component-based architecture allows rapid development of the custom 'Chinese Minimal Drama' aesthetic and complex UI feedback.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Client-side rendering offloads processing from the server, resulting in a snappy user experience.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Predictable component lifecycle management prevents UI state desynchronization during bidding.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Open-source and free.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Authentication Method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JWT (JSON Web Tokens)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Stateless, scalable, and secure authentication mechanism essential for generating tamper-proof escrow codes.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Avoids database lookups for every route, significantly speeding up API request validation.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Cryptographically signed tokens prevent forgery and unauthorized access.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Built-in libraries available at zero cost.</w:t>
            </w:r>
          </w:p>
        </w:tc>
      </w:tr>
      <w:tr>
        <w:trPr/>
        <w:tc>
          <w:tcPr>
            <w:tcW w:w="1697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Deployment Method</w:t>
            </w:r>
          </w:p>
        </w:tc>
        <w:tc>
          <w:tcPr>
            <w:tcW w:w="1093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Vercel (Frontend) &amp; Render (Backend)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Native support for Node.js environments with seamless CI/CD integration directly from GitHub repositories.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Global edge network caching ensures fast asset delivery and low latency globally.</w:t>
            </w:r>
          </w:p>
        </w:tc>
        <w:tc>
          <w:tcPr>
            <w:tcW w:w="1792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Automated rollbacks on deployment failures ensure high uptime.</w:t>
            </w:r>
          </w:p>
        </w:tc>
        <w:tc>
          <w:tcPr>
            <w:tcW w:w="1658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Free tier perfectly suits academic project requirements.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KP Reflection Table</w:t>
      </w:r>
    </w:p>
    <w:tbl>
      <w:tblPr>
        <w:tblStyle w:val="Table4"/>
        <w:tblW w:w="60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975"/>
        <w:gridCol w:w="4076"/>
      </w:tblGrid>
      <w:tr>
        <w:trPr>
          <w:tblHeader w:val="true"/>
        </w:trPr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Knowledge Profile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How It Was Applied in the Assignment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K2 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computing fundamentals to calculate relative bid percentages dynamically: (Bid / Reserve) * 100. This math drives the real-time RGB tension feedback system (Red &lt; 70%, Yellow 70-99%, Green &gt;= 100%).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K3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Utilized core software engineering principles, including the Software Development Life Cycle (SDLC) and Model-View-Controller (MVC) patterns, to architect a robust and maintainable marketplace platform.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K4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Leveraged specialized domain knowledge in modern web development (React, Node.js, REST APIs) and cryptographic security (JWT) to build a secure, real-time bidding application.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K5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Applied engineering design knowledge to formulate the relational database schema and system architecture necessary to support the novel 3-chance dual-pricing auction logic.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K6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Demonstrated practical engineering skills by adopting industry-standard tools and practices, including Git version control, Postman API testing, and Tailwind CSS for rapid UI development.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K7</w:t>
            </w:r>
          </w:p>
        </w:tc>
        <w:tc>
          <w:tcPr>
            <w:tcW w:w="4076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Ensured ethical engineering by designing a trustless Escrow mechanism that prevents real-world meetup fraud, prioritizing public safety and secure data handling in C2C transactions.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CEP Reflection Table</w:t>
      </w:r>
    </w:p>
    <w:tbl>
      <w:tblPr>
        <w:tblStyle w:val="Table5"/>
        <w:tblW w:w="67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3248"/>
        <w:gridCol w:w="3530"/>
      </w:tblGrid>
      <w:tr>
        <w:trPr>
          <w:tblHeader w:val="true"/>
        </w:trPr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Complex Engineering Problem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How the Problem Was Addressed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P1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Addressed the requirement for deep engineering knowledge by building a synchronized real-time countdown and strict mathematical bid validation system that operates reliably over a stateless REST API.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P2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Resolved conflicting technical issues by balancing the need for a frictionless, chat-free user experience with the necessity of highly secure, verified transaction handovers using Cryptographic Escrow codes.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P3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Tackled the lack of an obvious solution to 'penny-bidding' and 'haggling fatigue' by engineering a novel 3-chance restricted bidding system, discarding the standard open-auction model entirely.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P4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Navigated unfamiliar issues by developing the 'Display vs Secret Reserve' dual-pricing logic, a non-standard market model that required custom state management and database constraints.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P6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Managed multiple stakeholder requirements by designing an automated system that dynamically balances the opposing goals of Sellers (maximizing profit) and Buyers (minimizing cost), ensuring mutual satisfaction.</w:t>
            </w:r>
          </w:p>
        </w:tc>
      </w:tr>
      <w:tr>
        <w:trPr/>
        <w:tc>
          <w:tcPr>
            <w:tcW w:w="3248" w:type="dxa"/>
            <w:tcBorders/>
            <w:vAlign w:val="center"/>
          </w:tcPr>
          <w:p>
            <w:pPr>
              <w:pStyle w:val="normal1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P7</w:t>
            </w:r>
          </w:p>
        </w:tc>
        <w:tc>
          <w:tcPr>
            <w:tcW w:w="3530" w:type="dxa"/>
            <w:tcBorders/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  <w:t>Solved multiple interconnected sub-problems by perfectly integrating the isolated, high-tension 'Bidding Arena' logic with the physical, real-world 'Handover Escrow' verification module.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bookmarkStart w:id="0" w:name="_heading=h.poslvxsr32l8"/>
      <w:bookmarkEnd w:id="0"/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Student Declaration</w:t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 hereby declare that this assignment submission is my own work. All references and external resources used in this assignment have been properly acknowledged.</w:t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Student Signature: </w:t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1"/>
        <w:spacing w:lineRule="auto" w:line="24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Date: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vertAlign w:val="superscript"/>
        </w:rPr>
        <w:t>th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May 2026</w:t>
      </w:r>
    </w:p>
    <w:p>
      <w:pPr>
        <w:pStyle w:val="normal1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 w:characterSet="utf-8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spacing w:lineRule="auto" w:line="240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spacing w:lineRule="auto" w:line="240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Mono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docx"/><Relationship Id="rId3" Type="http://schemas.openxmlformats.org/officeDocument/2006/relationships/image" Target="media/image1.emf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S7LNfDKbnRulZiQHQG8ddpbJBmg==">CgMxLjAyDmgucG9zbHZ4c3IzMmw4OAByITFfdGFzWUViUmFJR0p3ZEZScmVhOVhsdEhfOU5IaFEzNQ==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LibreOffice/25.8.7.2$Linux_X86_64 LibreOffice_project/580$Build-2</Application>
  <AppVersion>15.0000</AppVersion>
  <Pages>9</Pages>
  <Words>1175</Words>
  <Characters>7907</Characters>
  <CharactersWithSpaces>8937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2026-05-19T19:37:07Z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