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E42E80">
      <w:pPr>
        <w:pStyle w:val="36"/>
      </w:pPr>
      <w:r>
        <w:t>Freight Rate Prediction: Validation Report</w:t>
      </w:r>
    </w:p>
    <w:p w14:paraId="34E56CF5">
      <w:r>
        <w:rPr>
          <w:rFonts w:hint="default"/>
          <w:lang w:val="en-US"/>
        </w:rPr>
        <w:t xml:space="preserve">Muhammad </w:t>
      </w:r>
      <w:bookmarkStart w:id="0" w:name="_GoBack"/>
      <w:bookmarkEnd w:id="0"/>
      <w:r>
        <w:t>Shozab Imdad | Machine Learning Engineer assessment</w:t>
      </w:r>
    </w:p>
    <w:p w14:paraId="669B744C">
      <w:pPr>
        <w:pStyle w:val="2"/>
      </w:pPr>
      <w:r>
        <w:t>1. Summary</w:t>
      </w:r>
    </w:p>
    <w:p w14:paraId="4DA00822">
      <w:r>
        <w:t>My final model is LightGBM trained on the log of the posted rate after I remove a log-linear time trend. In my out-of-time backtest over August to October 2025 it reaches a mean absolute error of $50.82 and a MAPE of 2.18% on valid labels, compared with 8.13% for a rate-per-mile baseline.</w:t>
      </w:r>
    </w:p>
    <w:p w14:paraId="2C6E1781">
      <w:pPr>
        <w:pStyle w:val="2"/>
      </w:pPr>
      <w:r>
        <w:t>2. Train/validation split</w:t>
      </w:r>
    </w:p>
    <w:p w14:paraId="5FB24304">
      <w:r>
        <w:t>The labeled data covers 1 January to 31 October 2025, and the 12,000 loads I had to predict cover November and December 2025. Since the task is forecasting forward in time, I did not use a random split: it would leak future market conditions into training and overstate accuracy. Instead I evaluated every model with an expanding-window backtest that mirrors the real setting:</w:t>
      </w:r>
    </w:p>
    <w:p w14:paraId="1DBC9DAE">
      <w:pPr>
        <w:pStyle w:val="23"/>
      </w:pPr>
      <w:r>
        <w:t>Fold 1: train January-July, test August</w:t>
      </w:r>
    </w:p>
    <w:p w14:paraId="22C240F8">
      <w:pPr>
        <w:pStyle w:val="23"/>
      </w:pPr>
      <w:r>
        <w:t>Fold 2: train January-August, test September</w:t>
      </w:r>
    </w:p>
    <w:p w14:paraId="26CBA4C9">
      <w:pPr>
        <w:pStyle w:val="23"/>
      </w:pPr>
      <w:r>
        <w:t>Fold 3: train January-September, test October</w:t>
      </w:r>
    </w:p>
    <w:p w14:paraId="170BFDFC">
      <w:r>
        <w:t>I re-run the label screening (section 3) inside every training window, so no information from a test month reaches the model evaluated on it. After selecting the model, I refit it on all of January to October to produce the final predictions.</w:t>
      </w:r>
    </w:p>
    <w:p w14:paraId="6D112894">
      <w:pPr>
        <w:pStyle w:val="2"/>
      </w:pPr>
      <w:r>
        <w:t>3. Data findings and quality fixes</w:t>
      </w:r>
    </w:p>
    <w:p w14:paraId="24940FB9">
      <w:pPr>
        <w:pStyle w:val="23"/>
      </w:pPr>
      <w:r>
        <w:t>Corrupted labels: I found 677 loads (1.4%) whose posted rates are roughly 3-6x above or below comparable loads. I score each label with a Huber-loss model trained on the other folds and exclude rows with an absolute log residual above 0.3 from training. Valid residuals sit within about +/-0.12, so the cut-off is not sensitive.</w:t>
      </w:r>
    </w:p>
    <w:p w14:paraId="6F0250A3">
      <w:pPr>
        <w:pStyle w:val="23"/>
      </w:pPr>
      <w:r>
        <w:t>Negative weights: 292 training loads (0.6%). With the sign removed they fall in the normal 5,000-47,500 lb range and their rates show no bias, so I treat them as sign errors.</w:t>
      </w:r>
    </w:p>
    <w:p w14:paraId="3E85532E">
      <w:pPr>
        <w:pStyle w:val="23"/>
      </w:pPr>
      <w:r>
        <w:t>Missing values: I fill missing weight (300 rows) with the median for the same equipment type, and missing market_index (374 rows) with the mean for the same date, since the date alone explains about 98% of its variance.</w:t>
      </w:r>
    </w:p>
    <w:p w14:paraId="58A2E5EA">
      <w:pPr>
        <w:pStyle w:val="23"/>
      </w:pPr>
      <w:r>
        <w:t>Time trend: I found that at a fixed market_index, rates rise about 8% per year. A tree model cannot extrapolate this, and my first LightGBM under-predicted September and October by a steady 3.7%. I now estimate the trend with the log-linear model, remove it before fitting LightGBM and add it back at prediction time.</w:t>
      </w:r>
    </w:p>
    <w:p w14:paraId="303FED93">
      <w:pPr>
        <w:pStyle w:val="23"/>
      </w:pPr>
      <w:r>
        <w:t>Distance floor: short lanes are floored at 70 miles. This is consistent across files, so I kept it as is.</w:t>
      </w:r>
    </w:p>
    <w:p w14:paraId="5B59AC1C">
      <w:pPr>
        <w:pStyle w:val="23"/>
      </w:pPr>
      <w:r>
        <w:t>Unseen cities: eight cities (e.g. Chicago, Charlotte, San Diego) occur only in the prediction set, so I use coordinates rather than city identities as features.</w:t>
      </w:r>
    </w:p>
    <w:p w14:paraId="60B007F9">
      <w:pPr>
        <w:pStyle w:val="2"/>
      </w:pPr>
      <w:r>
        <w:t>4. Model comparison</w:t>
      </w:r>
    </w:p>
    <w:p w14:paraId="75EBA2A1">
      <w:r>
        <w:t>Mean over the three backtest folds. 'Valid labels' excludes the rows I screened as corrupted; 'All labels' includes them.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B7B4E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1966047">
            <w:pPr>
              <w:spacing w:after="0" w:line="240" w:lineRule="auto"/>
            </w:pPr>
            <w:r>
              <w:t>Model</w:t>
            </w:r>
          </w:p>
        </w:tc>
        <w:tc>
          <w:tcPr>
            <w:tcW w:w="1728" w:type="dxa"/>
          </w:tcPr>
          <w:p w14:paraId="4F77BBD4">
            <w:pPr>
              <w:spacing w:after="0" w:line="240" w:lineRule="auto"/>
            </w:pPr>
            <w:r>
              <w:t>MAE valid ($)</w:t>
            </w:r>
          </w:p>
        </w:tc>
        <w:tc>
          <w:tcPr>
            <w:tcW w:w="1728" w:type="dxa"/>
          </w:tcPr>
          <w:p w14:paraId="622A6252">
            <w:pPr>
              <w:spacing w:after="0" w:line="240" w:lineRule="auto"/>
            </w:pPr>
            <w:r>
              <w:t>MAPE valid (%)</w:t>
            </w:r>
          </w:p>
        </w:tc>
        <w:tc>
          <w:tcPr>
            <w:tcW w:w="1728" w:type="dxa"/>
          </w:tcPr>
          <w:p w14:paraId="52640276">
            <w:pPr>
              <w:spacing w:after="0" w:line="240" w:lineRule="auto"/>
            </w:pPr>
            <w:r>
              <w:t>MAE all ($)</w:t>
            </w:r>
          </w:p>
        </w:tc>
        <w:tc>
          <w:tcPr>
            <w:tcW w:w="1728" w:type="dxa"/>
          </w:tcPr>
          <w:p w14:paraId="0AC24085">
            <w:pPr>
              <w:spacing w:after="0" w:line="240" w:lineRule="auto"/>
            </w:pPr>
            <w:r>
              <w:t>MAPE all (%)</w:t>
            </w:r>
          </w:p>
        </w:tc>
      </w:tr>
      <w:tr w14:paraId="5AD701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DE53451">
            <w:pPr>
              <w:spacing w:after="0" w:line="240" w:lineRule="auto"/>
            </w:pPr>
            <w:r>
              <w:t>Rate-per-mile baseline</w:t>
            </w:r>
          </w:p>
        </w:tc>
        <w:tc>
          <w:tcPr>
            <w:tcW w:w="1728" w:type="dxa"/>
          </w:tcPr>
          <w:p w14:paraId="37993AD9">
            <w:pPr>
              <w:spacing w:after="0" w:line="240" w:lineRule="auto"/>
            </w:pPr>
            <w:r>
              <w:t>181.41</w:t>
            </w:r>
          </w:p>
        </w:tc>
        <w:tc>
          <w:tcPr>
            <w:tcW w:w="1728" w:type="dxa"/>
          </w:tcPr>
          <w:p w14:paraId="1A2BA110">
            <w:pPr>
              <w:spacing w:after="0" w:line="240" w:lineRule="auto"/>
            </w:pPr>
            <w:r>
              <w:t>8.13</w:t>
            </w:r>
          </w:p>
        </w:tc>
        <w:tc>
          <w:tcPr>
            <w:tcW w:w="1728" w:type="dxa"/>
          </w:tcPr>
          <w:p w14:paraId="5D7AC8E8">
            <w:pPr>
              <w:spacing w:after="0" w:line="240" w:lineRule="auto"/>
            </w:pPr>
            <w:r>
              <w:t>233.26</w:t>
            </w:r>
          </w:p>
        </w:tc>
        <w:tc>
          <w:tcPr>
            <w:tcW w:w="1728" w:type="dxa"/>
          </w:tcPr>
          <w:p w14:paraId="65108ACE">
            <w:pPr>
              <w:spacing w:after="0" w:line="240" w:lineRule="auto"/>
            </w:pPr>
            <w:r>
              <w:t>10.49</w:t>
            </w:r>
          </w:p>
        </w:tc>
      </w:tr>
      <w:tr w14:paraId="614F0D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3FEBE0">
            <w:pPr>
              <w:spacing w:after="0" w:line="240" w:lineRule="auto"/>
            </w:pPr>
            <w:r>
              <w:t>Log-linear with trend</w:t>
            </w:r>
          </w:p>
        </w:tc>
        <w:tc>
          <w:tcPr>
            <w:tcW w:w="1728" w:type="dxa"/>
          </w:tcPr>
          <w:p w14:paraId="776EDBB4">
            <w:pPr>
              <w:spacing w:after="0" w:line="240" w:lineRule="auto"/>
            </w:pPr>
            <w:r>
              <w:t>64.11</w:t>
            </w:r>
          </w:p>
        </w:tc>
        <w:tc>
          <w:tcPr>
            <w:tcW w:w="1728" w:type="dxa"/>
          </w:tcPr>
          <w:p w14:paraId="0ADCA90A">
            <w:pPr>
              <w:spacing w:after="0" w:line="240" w:lineRule="auto"/>
            </w:pPr>
            <w:r>
              <w:t>2.94</w:t>
            </w:r>
          </w:p>
        </w:tc>
        <w:tc>
          <w:tcPr>
            <w:tcW w:w="1728" w:type="dxa"/>
          </w:tcPr>
          <w:p w14:paraId="53295BB6">
            <w:pPr>
              <w:spacing w:after="0" w:line="240" w:lineRule="auto"/>
            </w:pPr>
            <w:r>
              <w:t>117.84</w:t>
            </w:r>
          </w:p>
        </w:tc>
        <w:tc>
          <w:tcPr>
            <w:tcW w:w="1728" w:type="dxa"/>
          </w:tcPr>
          <w:p w14:paraId="050C0A17">
            <w:pPr>
              <w:spacing w:after="0" w:line="240" w:lineRule="auto"/>
            </w:pPr>
            <w:r>
              <w:t>5.42</w:t>
            </w:r>
          </w:p>
        </w:tc>
      </w:tr>
      <w:tr w14:paraId="399AA5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B3C5C93">
            <w:pPr>
              <w:spacing w:after="0" w:line="240" w:lineRule="auto"/>
            </w:pPr>
            <w:r>
              <w:t>LightGBM without trend</w:t>
            </w:r>
          </w:p>
        </w:tc>
        <w:tc>
          <w:tcPr>
            <w:tcW w:w="1728" w:type="dxa"/>
          </w:tcPr>
          <w:p w14:paraId="37B28143">
            <w:pPr>
              <w:spacing w:after="0" w:line="240" w:lineRule="auto"/>
            </w:pPr>
            <w:r>
              <w:t>82.27</w:t>
            </w:r>
          </w:p>
        </w:tc>
        <w:tc>
          <w:tcPr>
            <w:tcW w:w="1728" w:type="dxa"/>
          </w:tcPr>
          <w:p w14:paraId="3DB15741">
            <w:pPr>
              <w:spacing w:after="0" w:line="240" w:lineRule="auto"/>
            </w:pPr>
            <w:r>
              <w:t>3.67</w:t>
            </w:r>
          </w:p>
        </w:tc>
        <w:tc>
          <w:tcPr>
            <w:tcW w:w="1728" w:type="dxa"/>
          </w:tcPr>
          <w:p w14:paraId="7A86892F">
            <w:pPr>
              <w:spacing w:after="0" w:line="240" w:lineRule="auto"/>
            </w:pPr>
            <w:r>
              <w:t>135.64</w:t>
            </w:r>
          </w:p>
        </w:tc>
        <w:tc>
          <w:tcPr>
            <w:tcW w:w="1728" w:type="dxa"/>
          </w:tcPr>
          <w:p w14:paraId="72193E5F">
            <w:pPr>
              <w:spacing w:after="0" w:line="240" w:lineRule="auto"/>
            </w:pPr>
            <w:r>
              <w:t>6.05</w:t>
            </w:r>
          </w:p>
        </w:tc>
      </w:tr>
      <w:tr w14:paraId="1142A7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766735B">
            <w:pPr>
              <w:spacing w:after="0" w:line="240" w:lineRule="auto"/>
            </w:pPr>
            <w:r>
              <w:t>LightGBM with trend (final)</w:t>
            </w:r>
          </w:p>
        </w:tc>
        <w:tc>
          <w:tcPr>
            <w:tcW w:w="1728" w:type="dxa"/>
          </w:tcPr>
          <w:p w14:paraId="3E45E1A5">
            <w:pPr>
              <w:spacing w:after="0" w:line="240" w:lineRule="auto"/>
            </w:pPr>
            <w:r>
              <w:t>50.82</w:t>
            </w:r>
          </w:p>
        </w:tc>
        <w:tc>
          <w:tcPr>
            <w:tcW w:w="1728" w:type="dxa"/>
          </w:tcPr>
          <w:p w14:paraId="7FF1F631">
            <w:pPr>
              <w:spacing w:after="0" w:line="240" w:lineRule="auto"/>
            </w:pPr>
            <w:r>
              <w:t>2.18</w:t>
            </w:r>
          </w:p>
        </w:tc>
        <w:tc>
          <w:tcPr>
            <w:tcW w:w="1728" w:type="dxa"/>
          </w:tcPr>
          <w:p w14:paraId="54FAFD50">
            <w:pPr>
              <w:spacing w:after="0" w:line="240" w:lineRule="auto"/>
            </w:pPr>
            <w:r>
              <w:t>104.64</w:t>
            </w:r>
          </w:p>
        </w:tc>
        <w:tc>
          <w:tcPr>
            <w:tcW w:w="1728" w:type="dxa"/>
          </w:tcPr>
          <w:p w14:paraId="428CD992">
            <w:pPr>
              <w:spacing w:after="0" w:line="240" w:lineRule="auto"/>
            </w:pPr>
            <w:r>
              <w:t>4.66</w:t>
            </w:r>
          </w:p>
        </w:tc>
      </w:tr>
    </w:tbl>
    <w:p w14:paraId="7F523602"/>
    <w:p w14:paraId="1482B737">
      <w:r>
        <w:t>Per-fold MAPE of my final model on valid labels: 2025-08: 3.21%, 2025-09: 1.75%, 2025-10: 1.57%. The error falls as more history becomes available to estimate the trend, and my final model uses all ten months.</w:t>
      </w:r>
    </w:p>
    <w:p w14:paraId="3B3425F7">
      <w:pPr>
        <w:pStyle w:val="2"/>
      </w:pPr>
      <w:r>
        <w:t>5. Final model</w:t>
      </w:r>
    </w:p>
    <w:p w14:paraId="285885F1">
      <w:r>
        <w:t>I use these features: distance, log distance, equipment, weight, market_index, quote_signal, pickup and delivery coordinates, and day of week. I deliberately left out month and day-of-year, because the training data never covers November or December. The target is the log posted_rate minus the linear time trend. I trained LightGBM with 1,500 trees, learning rate 0.03, 31 leaves, row and column subsampling of 0.8, and a fixed seed.</w:t>
      </w:r>
    </w:p>
    <w:p w14:paraId="3E48578A">
      <w:pPr>
        <w:pStyle w:val="2"/>
      </w:pPr>
      <w:r>
        <w:t>6. December prediction chart</w:t>
      </w:r>
    </w:p>
    <w:p w14:paraId="30CA2FB6">
      <w:r>
        <w:t>The chart uses a fixed lane: Lexington to Fort Wayne, 360 miles, Dry Van, 32,000 lb. The chart inputs omit coordinates and market signals, so I look up coordinates per city, set market_index to the mean of all prediction-set loads on the same date, and set quote_signal to the December Dry Van median. My predictions range from $832 to $857, in line with the $758-$934 range of Dry Van loads on this lane in January to October.</w:t>
      </w:r>
    </w:p>
    <w:p w14:paraId="5FB133DA">
      <w:r>
        <w:drawing>
          <wp:inline distT="0" distB="0" distL="114300" distR="114300">
            <wp:extent cx="5760720" cy="1875790"/>
            <wp:effectExtent l="0" t="0" r="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E664">
      <w:pPr>
        <w:pStyle w:val="2"/>
      </w:pPr>
      <w:r>
        <w:t>7. Limitations</w:t>
      </w:r>
    </w:p>
    <w:p w14:paraId="77C2F437">
      <w:pPr>
        <w:pStyle w:val="23"/>
      </w:pPr>
      <w:r>
        <w:t>I extrapolate the time trend one to two months beyond the training data, so a change in trend would not be captured.</w:t>
      </w:r>
    </w:p>
    <w:p w14:paraId="581C7CFC">
      <w:pPr>
        <w:pStyle w:val="23"/>
      </w:pPr>
      <w:r>
        <w:t>If the hidden labels contain the same ~1.4% of corrupted rates, those rows will dominate the error on all loads, as the 'All labels' columns show.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66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672</Words>
  <Characters>3369</Characters>
  <Lines>0</Lines>
  <Paragraphs>0</Paragraphs>
  <TotalTime>1</TotalTime>
  <ScaleCrop>false</ScaleCrop>
  <LinksUpToDate>false</LinksUpToDate>
  <CharactersWithSpaces>3991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Shozab Imdad</cp:lastModifiedBy>
  <dcterms:modified xsi:type="dcterms:W3CDTF">2026-09-25T21:52:12Z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eyJoZGlkIjoiNTQ2OGY0NDU1ZjlmNjZlMThhMTQ4N2M3NzU2NDNlZjciLCJ1c2VySWQiOiIxOTQyMDQ0MTY2NTA1In0=</vt:lpwstr>
  </property>
  <property fmtid="{D5CDD505-2E9C-101B-9397-08002B2CF9AE}" pid="3" name="KSOProductBuildVer">
    <vt:lpwstr>1033-12.1.0.28485</vt:lpwstr>
  </property>
  <property fmtid="{D5CDD505-2E9C-101B-9397-08002B2CF9AE}" pid="4" name="ICV">
    <vt:lpwstr>56F725DCC1C6473BBB70D4D5993E1AFC_12</vt:lpwstr>
  </property>
</Properties>
</file>