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VGGT Seminar Report · Supplementary Material</w:t>
      </w:r>
    </w:p>
    <w:p>
      <w:r>
        <w:t>Peleg Shpitzer · University of Haifa · July 2026</w:t>
      </w:r>
    </w:p>
    <w:p>
      <w:pPr>
        <w:pStyle w:val="Heading1"/>
      </w:pPr>
      <w:r>
        <w:t>S1. Reproducibility Record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75"/>
        <w:gridCol w:w="4975"/>
      </w:tblGrid>
      <w:tr>
        <w:tc>
          <w:tcPr>
            <w:tcW w:type="dxa" w:w="2592"/>
            <w:vAlign w:val="center"/>
            <w:shd w:fill="DDEAF2"/>
          </w:tcPr>
          <w:p>
            <w:r/>
            <w:r>
              <w:rPr>
                <w:rFonts w:ascii="Arial" w:hAnsi="Arial"/>
                <w:b/>
                <w:sz w:val="16"/>
              </w:rPr>
              <w:t>Item</w:t>
            </w:r>
          </w:p>
        </w:tc>
        <w:tc>
          <w:tcPr>
            <w:tcW w:type="dxa" w:w="7200"/>
            <w:vAlign w:val="center"/>
            <w:shd w:fill="DDEAF2"/>
          </w:tcPr>
          <w:p>
            <w:r/>
            <w:r>
              <w:rPr>
                <w:rFonts w:ascii="Arial" w:hAnsi="Arial"/>
                <w:b/>
                <w:sz w:val="16"/>
              </w:rPr>
              <w:t>Exact value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Repository commit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a288dd0f14786c93483e45524328726ab7b1b4ce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Checkpoint SHA-256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d15bf50a8615c8225ed48b51ea5cac673d82442ec0309036df555a053253afe0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Protocol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eth3d-overlap-aware-nested-v1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Source commits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delivery: 5ef68d3 · courtyard/cross-scene: ccb5487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Execution boundary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Saved outputs only; no model/checkpoint/CUDA execution</w:t>
            </w:r>
          </w:p>
        </w:tc>
      </w:tr>
    </w:tbl>
    <w:p>
      <w:pPr>
        <w:pStyle w:val="Heading1"/>
      </w:pPr>
      <w:r>
        <w:t>S2. Exact Frozen Frames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88"/>
        <w:gridCol w:w="2488"/>
        <w:gridCol w:w="2488"/>
        <w:gridCol w:w="2488"/>
      </w:tblGrid>
      <w:tr>
        <w:tc>
          <w:tcPr>
            <w:tcW w:type="dxa" w:w="1440"/>
            <w:vAlign w:val="center"/>
            <w:shd w:fill="DDEAF2"/>
          </w:tcPr>
          <w:p>
            <w:r/>
            <w:r>
              <w:rPr>
                <w:rFonts w:ascii="Arial" w:hAnsi="Arial"/>
                <w:b/>
                <w:sz w:val="16"/>
              </w:rPr>
              <w:t>Scene</w:t>
            </w:r>
          </w:p>
        </w:tc>
        <w:tc>
          <w:tcPr>
            <w:tcW w:type="dxa" w:w="792"/>
            <w:vAlign w:val="center"/>
            <w:shd w:fill="DDEAF2"/>
          </w:tcPr>
          <w:p>
            <w:r/>
            <w:r>
              <w:rPr>
                <w:rFonts w:ascii="Arial" w:hAnsi="Arial"/>
                <w:b/>
                <w:sz w:val="16"/>
              </w:rPr>
              <w:t>Set</w:t>
            </w:r>
          </w:p>
        </w:tc>
        <w:tc>
          <w:tcPr>
            <w:tcW w:type="dxa" w:w="2160"/>
            <w:vAlign w:val="center"/>
            <w:shd w:fill="DDEAF2"/>
          </w:tcPr>
          <w:p>
            <w:r/>
            <w:r>
              <w:rPr>
                <w:rFonts w:ascii="Arial" w:hAnsi="Arial"/>
                <w:b/>
                <w:sz w:val="16"/>
              </w:rPr>
              <w:t>Indices</w:t>
            </w:r>
          </w:p>
        </w:tc>
        <w:tc>
          <w:tcPr>
            <w:tcW w:type="dxa" w:w="5400"/>
            <w:vAlign w:val="center"/>
            <w:shd w:fill="DDEAF2"/>
          </w:tcPr>
          <w:p>
            <w:r/>
            <w:r>
              <w:rPr>
                <w:rFonts w:ascii="Arial" w:hAnsi="Arial"/>
                <w:b/>
                <w:sz w:val="16"/>
              </w:rPr>
              <w:t>Filenames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delivery_area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[0, 6]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DSC_0675.JPG, DSC_0681.JPG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delivery_area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S4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[0, 3, 6, 9]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DSC_0675.JPG, DSC_0678.JPG, DSC_0681.JPG, DSC_0684.JPG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delivery_area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S6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[0, 3, 4, 5, 6, 9]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DSC_0675.JPG, DSC_0678.JPG, DSC_0679.JPG, DSC_0680.JPG, DSC_0681.JPG, DSC_0684.JPG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delivery_area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S8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[0, 1, 2, 3, 4, 5, 6, 9]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DSC_0675.JPG, DSC_0676.JPG, DSC_0677.JPG, DSC_0678.JPG, DSC_0679.JPG, DSC_0680.JPG, DSC_0681.JPG, DSC_0684.JPG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delivery_area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S10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[0, 1, 2, 3, 4, 5, 6, 7, 8, 9]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DSC_0675.JPG, DSC_0676.JPG, DSC_0677.JPG, DSC_0678.JPG, DSC_0679.JPG, DSC_0680.JPG, DSC_0681.JPG, DSC_0682.JPG, DSC_0683.JPG, DSC_0684.JPG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courtyard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[0, 9]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DSC_0286.JPG, DSC_0295.JPG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courtyard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S4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[0, 4, 6, 9]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DSC_0286.JPG, DSC_0290.JPG, DSC_0292.JPG, DSC_0295.JPG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courtyard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S6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[0, 2, 3, 4, 6, 9]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DSC_0286.JPG, DSC_0288.JPG, DSC_0289.JPG, DSC_0290.JPG, DSC_0292.JPG, DSC_0295.JPG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courtyard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S8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[0, 2, 3, 4, 5, 6, 7, 9]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DSC_0286.JPG, DSC_0288.JPG, DSC_0289.JPG, DSC_0290.JPG, DSC_0291.JPG, DSC_0292.JPG, DSC_0293.JPG, DSC_0295.JPG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courtyard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S10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[0, 1, 2, 3, 4, 5, 6, 7, 8, 9]</w:t>
            </w:r>
          </w:p>
        </w:tc>
        <w:tc>
          <w:tcPr>
            <w:tcW w:type="dxa" w:w="540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DSC_0286.JPG, DSC_0287.JPG, DSC_0288.JPG, DSC_0289.JPG, DSC_0290.JPG, DSC_0291.JPG, DSC_0292.JPG, DSC_0293.JPG, DSC_0294.JPG, DSC_0295.JPG</w:t>
            </w:r>
          </w:p>
        </w:tc>
      </w:tr>
    </w:tbl>
    <w:p>
      <w:r>
        <w:br w:type="page"/>
      </w:r>
    </w:p>
    <w:p>
      <w:pPr>
        <w:pStyle w:val="Heading1"/>
      </w:pPr>
      <w:r>
        <w:t>S3. Complete Runtime and Memory Results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22"/>
        <w:gridCol w:w="1422"/>
        <w:gridCol w:w="1422"/>
        <w:gridCol w:w="1422"/>
        <w:gridCol w:w="1422"/>
        <w:gridCol w:w="1422"/>
        <w:gridCol w:w="1422"/>
      </w:tblGrid>
      <w:tr>
        <w:tc>
          <w:tcPr>
            <w:tcW w:type="dxa" w:w="1728"/>
            <w:vAlign w:val="center"/>
            <w:shd w:fill="DDEAF2"/>
          </w:tcPr>
          <w:p>
            <w:r/>
            <w:r>
              <w:rPr>
                <w:rFonts w:ascii="Arial" w:hAnsi="Arial"/>
                <w:b/>
                <w:sz w:val="16"/>
              </w:rPr>
              <w:t>Scene</w:t>
            </w:r>
          </w:p>
        </w:tc>
        <w:tc>
          <w:tcPr>
            <w:tcW w:type="dxa" w:w="792"/>
            <w:vAlign w:val="center"/>
            <w:shd w:fill="DDEAF2"/>
          </w:tcPr>
          <w:p>
            <w:r/>
            <w:r>
              <w:rPr>
                <w:rFonts w:ascii="Arial" w:hAnsi="Arial"/>
                <w:b/>
                <w:sz w:val="16"/>
              </w:rPr>
              <w:t>Set</w:t>
            </w:r>
          </w:p>
        </w:tc>
        <w:tc>
          <w:tcPr>
            <w:tcW w:type="dxa" w:w="792"/>
            <w:vAlign w:val="center"/>
            <w:shd w:fill="DDEAF2"/>
          </w:tcPr>
          <w:p>
            <w:r/>
            <w:r>
              <w:rPr>
                <w:rFonts w:ascii="Arial" w:hAnsi="Arial"/>
                <w:b/>
                <w:sz w:val="16"/>
              </w:rPr>
              <w:t>Views</w:t>
            </w:r>
          </w:p>
        </w:tc>
        <w:tc>
          <w:tcPr>
            <w:tcW w:type="dxa" w:w="1440"/>
            <w:vAlign w:val="center"/>
            <w:shd w:fill="DDEAF2"/>
          </w:tcPr>
          <w:p>
            <w:r/>
            <w:r>
              <w:rPr>
                <w:rFonts w:ascii="Arial" w:hAnsi="Arial"/>
                <w:b/>
                <w:sz w:val="16"/>
              </w:rPr>
              <w:t>Inference s</w:t>
            </w:r>
          </w:p>
        </w:tc>
        <w:tc>
          <w:tcPr>
            <w:tcW w:type="dxa" w:w="1440"/>
            <w:vAlign w:val="center"/>
            <w:shd w:fill="DDEAF2"/>
          </w:tcPr>
          <w:p>
            <w:r/>
            <w:r>
              <w:rPr>
                <w:rFonts w:ascii="Arial" w:hAnsi="Arial"/>
                <w:b/>
                <w:sz w:val="16"/>
              </w:rPr>
              <w:t>Total s</w:t>
            </w:r>
          </w:p>
        </w:tc>
        <w:tc>
          <w:tcPr>
            <w:tcW w:type="dxa" w:w="1728"/>
            <w:vAlign w:val="center"/>
            <w:shd w:fill="DDEAF2"/>
          </w:tcPr>
          <w:p>
            <w:r/>
            <w:r>
              <w:rPr>
                <w:rFonts w:ascii="Arial" w:hAnsi="Arial"/>
                <w:b/>
                <w:sz w:val="16"/>
              </w:rPr>
              <w:t>Allocated GiB</w:t>
            </w:r>
          </w:p>
        </w:tc>
        <w:tc>
          <w:tcPr>
            <w:tcW w:type="dxa" w:w="1728"/>
            <w:vAlign w:val="center"/>
            <w:shd w:fill="DDEAF2"/>
          </w:tcPr>
          <w:p>
            <w:r/>
            <w:r>
              <w:rPr>
                <w:rFonts w:ascii="Arial" w:hAnsi="Arial"/>
                <w:b/>
                <w:sz w:val="16"/>
              </w:rPr>
              <w:t>Reserved GiB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delivery_area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S2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0.906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3.208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5.261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5.883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delivery_area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S4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0.971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7.808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5.631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7.023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delivery_area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S6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6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0.853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10.712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6.084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8.074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delivery_area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S8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8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0.897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13.900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6.535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9.166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delivery_area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S10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10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1.142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17.386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6.599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9.230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courtyard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S2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2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0.876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4.510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5.261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5.883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courtyard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S4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4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0.713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7.614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5.631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7.023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courtyard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S6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6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0.727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10.858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6.084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8.074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courtyard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S8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8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0.974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14.496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6.535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9.166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courtyard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S10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10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1.055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18.645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6.599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9.230</w:t>
            </w:r>
          </w:p>
        </w:tc>
      </w:tr>
    </w:tbl>
    <w:p>
      <w:pPr>
        <w:pStyle w:val="Heading1"/>
      </w:pPr>
      <w:r>
        <w:t>S4. Complete Confidence and Geometry Results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06"/>
        <w:gridCol w:w="1106"/>
        <w:gridCol w:w="1106"/>
        <w:gridCol w:w="1106"/>
        <w:gridCol w:w="1106"/>
        <w:gridCol w:w="1106"/>
        <w:gridCol w:w="1106"/>
        <w:gridCol w:w="1106"/>
        <w:gridCol w:w="1106"/>
      </w:tblGrid>
      <w:tr>
        <w:tc>
          <w:tcPr>
            <w:tcW w:type="dxa" w:w="1440"/>
            <w:vAlign w:val="center"/>
            <w:shd w:fill="DDEAF2"/>
          </w:tcPr>
          <w:p>
            <w:r/>
            <w:r>
              <w:rPr>
                <w:rFonts w:ascii="Arial" w:hAnsi="Arial"/>
                <w:b/>
                <w:sz w:val="16"/>
              </w:rPr>
              <w:t>Scene</w:t>
            </w:r>
          </w:p>
        </w:tc>
        <w:tc>
          <w:tcPr>
            <w:tcW w:type="dxa" w:w="648"/>
            <w:vAlign w:val="center"/>
            <w:shd w:fill="DDEAF2"/>
          </w:tcPr>
          <w:p>
            <w:r/>
            <w:r>
              <w:rPr>
                <w:rFonts w:ascii="Arial" w:hAnsi="Arial"/>
                <w:b/>
                <w:sz w:val="16"/>
              </w:rPr>
              <w:t>Set</w:t>
            </w:r>
          </w:p>
        </w:tc>
        <w:tc>
          <w:tcPr>
            <w:tcW w:type="dxa" w:w="1037"/>
            <w:vAlign w:val="center"/>
            <w:shd w:fill="DDEAF2"/>
          </w:tcPr>
          <w:p>
            <w:r/>
            <w:r>
              <w:rPr>
                <w:rFonts w:ascii="Arial" w:hAnsi="Arial"/>
                <w:b/>
                <w:sz w:val="16"/>
              </w:rPr>
              <w:t>Depth mean</w:t>
            </w:r>
          </w:p>
        </w:tc>
        <w:tc>
          <w:tcPr>
            <w:tcW w:type="dxa" w:w="1037"/>
            <w:vAlign w:val="center"/>
            <w:shd w:fill="DDEAF2"/>
          </w:tcPr>
          <w:p>
            <w:r/>
            <w:r>
              <w:rPr>
                <w:rFonts w:ascii="Arial" w:hAnsi="Arial"/>
                <w:b/>
                <w:sz w:val="16"/>
              </w:rPr>
              <w:t>Depth median</w:t>
            </w:r>
          </w:p>
        </w:tc>
        <w:tc>
          <w:tcPr>
            <w:tcW w:type="dxa" w:w="1037"/>
            <w:vAlign w:val="center"/>
            <w:shd w:fill="DDEAF2"/>
          </w:tcPr>
          <w:p>
            <w:r/>
            <w:r>
              <w:rPr>
                <w:rFonts w:ascii="Arial" w:hAnsi="Arial"/>
                <w:b/>
                <w:sz w:val="16"/>
              </w:rPr>
              <w:t>Point mean</w:t>
            </w:r>
          </w:p>
        </w:tc>
        <w:tc>
          <w:tcPr>
            <w:tcW w:type="dxa" w:w="1037"/>
            <w:vAlign w:val="center"/>
            <w:shd w:fill="DDEAF2"/>
          </w:tcPr>
          <w:p>
            <w:r/>
            <w:r>
              <w:rPr>
                <w:rFonts w:ascii="Arial" w:hAnsi="Arial"/>
                <w:b/>
                <w:sz w:val="16"/>
              </w:rPr>
              <w:t>Point median</w:t>
            </w:r>
          </w:p>
        </w:tc>
        <w:tc>
          <w:tcPr>
            <w:tcW w:type="dxa" w:w="1152"/>
            <w:vAlign w:val="center"/>
            <w:shd w:fill="DDEAF2"/>
          </w:tcPr>
          <w:p>
            <w:r/>
            <w:r>
              <w:rPr>
                <w:rFonts w:ascii="Arial" w:hAnsi="Arial"/>
                <w:b/>
                <w:sz w:val="16"/>
              </w:rPr>
              <w:t>Retained</w:t>
            </w:r>
          </w:p>
        </w:tc>
        <w:tc>
          <w:tcPr>
            <w:tcW w:type="dxa" w:w="864"/>
            <w:vAlign w:val="center"/>
            <w:shd w:fill="DDEAF2"/>
          </w:tcPr>
          <w:p>
            <w:r/>
            <w:r>
              <w:rPr>
                <w:rFonts w:ascii="Arial" w:hAnsi="Arial"/>
                <w:b/>
                <w:sz w:val="16"/>
              </w:rPr>
              <w:t>Path</w:t>
            </w:r>
          </w:p>
        </w:tc>
        <w:tc>
          <w:tcPr>
            <w:tcW w:type="dxa" w:w="864"/>
            <w:vAlign w:val="center"/>
            <w:shd w:fill="DDEAF2"/>
          </w:tcPr>
          <w:p>
            <w:r/>
            <w:r>
              <w:rPr>
                <w:rFonts w:ascii="Arial" w:hAnsi="Arial"/>
                <w:b/>
                <w:sz w:val="16"/>
              </w:rPr>
              <w:t>Max sep.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delivery_area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S2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1.916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1.519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2.443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2.389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181300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0.534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0.534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delivery_area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S4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3.609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3.949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3.711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3.390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362600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0.741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0.741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delivery_area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S6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4.196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4.528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4.242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3.892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543900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0.770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0.770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delivery_area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S8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3.964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4.097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3.996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3.583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725200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0.831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0.831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delivery_area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S10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5.017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5.552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4.477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3.796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906499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0.748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0.747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courtyard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S2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2.319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2.516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3.034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2.931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181300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0.800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0.800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courtyard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S4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5.162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5.410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4.908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4.874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362600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0.894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0.893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courtyard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S6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6.535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6.832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5.591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5.488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543900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0.942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0.941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courtyard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S8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8.374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8.739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6.298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6.158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725199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0.927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0.926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courtyard</w:t>
            </w:r>
          </w:p>
        </w:tc>
        <w:tc>
          <w:tcPr>
            <w:tcW w:type="dxa" w:w="648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S10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8.012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8.372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6.151</w:t>
            </w:r>
          </w:p>
        </w:tc>
        <w:tc>
          <w:tcPr>
            <w:tcW w:type="dxa" w:w="1037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6.019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906499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0.919</w:t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ascii="Arial" w:hAnsi="Arial"/>
                <w:b w:val="0"/>
                <w:sz w:val="15"/>
              </w:rPr>
              <w:t>0.917</w:t>
            </w:r>
          </w:p>
        </w:tc>
      </w:tr>
    </w:tbl>
    <w:p>
      <w:r>
        <w:br w:type="page"/>
      </w:r>
    </w:p>
    <w:p>
      <w:pPr>
        <w:pStyle w:val="Heading1"/>
      </w:pPr>
      <w:r>
        <w:t>S5. Point-Cloud Rendering Parameters</w:t>
      </w:r>
    </w:p>
    <w:p>
      <w:r>
        <w:t>Source: saved confidence-filtered ASCII PLY files. Deterministic sampling retained every fixed-stride vertex to approximately 45,000 points, followed by median centering and 97th-percentile radial normalization. Renders use a dark RGB(12,18,28) background, saved RGB point colors, two-pixel splats, perspective projection, a -12° elevation, and 80 evenly spaced azimuths. Animations are 960×640 at 10 fps for 8 seconds. Coordinates remain arbitrary and unaligned; normalization is visual, not geometric filtering intended to improve results.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838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ivery_area_animation_keyfram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38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hAnsi="Arial"/>
          <w:i/>
          <w:color w:val="5D6B78"/>
          <w:sz w:val="16"/>
        </w:rPr>
        <w:t>Figure S1. delivery_area S10 rotation keyframes.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838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rtyard_animation_keyfram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38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Arial" w:hAnsi="Arial"/>
          <w:i/>
          <w:color w:val="5D6B78"/>
          <w:sz w:val="16"/>
        </w:rPr>
        <w:t>Figure S2. courtyard S10 rotation keyframes.</w:t>
      </w:r>
    </w:p>
    <w:p>
      <w:r>
        <w:br w:type="page"/>
      </w:r>
    </w:p>
    <w:p>
      <w:pPr>
        <w:pStyle w:val="Heading1"/>
      </w:pPr>
      <w:r>
        <w:t>S6. Artifact and Build Record</w:t>
      </w:r>
    </w:p>
    <w:p>
      <w:r>
        <w:t>Canonical inputs are report/data/view_count_results.csv and the source manifests/summary files recorded in report/data/report_provenance.json. V2 is regenerated with scripts/build_v2_animations.py and scripts/build_phase10_report_v2.py, then exported through Microsoft Word to selectable-text PDFs. The build imports neither VGGT nor Torch and does not load a checkpoint.</w:t>
      </w:r>
    </w:p>
    <w:p>
      <w:r>
        <w:t>Digital animation files: report/v2/animations/delivery_area_s10_rotation.gif/.mp4 and courtyard_s10_rotation.gif/.mp4. Main visual assets are under report/v2/figures and report/v2/diagrams.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79" w:bottom="893" w:left="979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6A7886"/>
        <w:sz w:val="16"/>
      </w:rPr>
      <w:t>VGGT · CONTROLLED VIEW-COUNT STUDY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C27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4283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B6CB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20A4B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