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Calibri" w:hAnsi="Calibri"/>
          <w:b/>
          <w:color w:val="A67118"/>
          <w:sz w:val="22"/>
        </w:rPr>
        <w:t>CONTROLLED VGGT STUDY</w:t>
      </w:r>
    </w:p>
    <w:p>
      <w:pPr>
        <w:spacing w:after="200"/>
        <w:jc w:val="center"/>
      </w:pPr>
      <w:r>
        <w:rPr>
          <w:rFonts w:ascii="Calibri" w:hAnsi="Calibri"/>
          <w:b/>
          <w:color w:val="0B2545"/>
          <w:sz w:val="56"/>
        </w:rPr>
        <w:t>From Real-Scene Robustness to</w:t>
        <w:br/>
        <w:t>Synthetic Ground-Truth Adaptation</w:t>
      </w:r>
    </w:p>
    <w:p>
      <w:pPr>
        <w:spacing w:after="1280"/>
        <w:jc w:val="center"/>
      </w:pPr>
      <w:r>
        <w:rPr>
          <w:rFonts w:ascii="Calibri" w:hAnsi="Calibri"/>
          <w:color w:val="2E74B5"/>
          <w:sz w:val="28"/>
        </w:rPr>
        <w:t>Version 3 seminar report | VGGT, CVPR 2025</w:t>
      </w:r>
    </w:p>
    <w:p>
      <w:pPr>
        <w:jc w:val="center"/>
      </w:pPr>
      <w:r>
        <w:rPr>
          <w:rFonts w:ascii="Calibri" w:hAnsi="Calibri"/>
          <w:b/>
          <w:color w:val="0B2545"/>
          <w:sz w:val="28"/>
        </w:rPr>
        <w:t>Peleg Shpitzer  |  Razi Mreeh</w:t>
      </w:r>
    </w:p>
    <w:p>
      <w:pPr>
        <w:jc w:val="center"/>
      </w:pPr>
      <w:r>
        <w:rPr>
          <w:rFonts w:ascii="Calibri" w:hAnsi="Calibri"/>
          <w:color w:val="5C6773"/>
          <w:sz w:val="22"/>
        </w:rPr>
        <w:t>University of Haifa | July 2026</w:t>
      </w:r>
    </w:p>
    <w:p>
      <w:r>
        <w:br w:type="page"/>
      </w:r>
    </w:p>
    <w:p>
      <w:pPr>
        <w:pStyle w:val="Heading1"/>
        <w:keepNext/>
      </w:pPr>
      <w:r>
        <w:t>Abstract</w:t>
      </w:r>
    </w:p>
    <w:p>
      <w:r>
        <w:t>We reproduce the maintained official VGGT-1B implementation and study its behavior on two calibrated ETH3D scenes and a held-out synthetic TartanAir trajectory. The real-scene study varies overlapping input views from 2 to 10. The synthetic extension adds exact camera poses and metric depth, enabling similarity-aligned camera and scale-aligned depth evaluation. On TartanAir P000, the official checkpoint achieves 3.14% depth AbsRel at two views and 6.89% at ten views, while mean camera rotation error remains below 0.77 degrees. A leakage-safe, 30-step frozen-aggregator adaptation is operationally feasible on an RTX 5080 but worsens held-out AbsRel and delta-1, demonstrating over-specialization rather than general improvement. This negative result is retained as evidence about fine-tuning risk.</w:t>
      </w:r>
    </w:p>
    <w:p>
      <w:pPr>
        <w:pStyle w:val="Heading1"/>
        <w:keepNext/>
      </w:pPr>
      <w:r>
        <w:t>Assignment brief</w:t>
      </w:r>
    </w:p>
    <w:p>
      <w:pPr>
        <w:jc w:val="right"/>
        <w:bidi/>
      </w:pPr>
      <w:r>
        <w:rPr>
          <w:rFonts w:ascii="Arial" w:hAnsi="Arial" w:cs="Arial"/>
          <w:sz w:val="22"/>
          <w:rtl/>
        </w:rPr>
        <w:t>את התרגיל הזה יש לבסס על המאמר שהצגתם.</w:t>
      </w:r>
    </w:p>
    <w:p>
      <w:pPr>
        <w:jc w:val="right"/>
        <w:bidi/>
      </w:pPr>
      <w:r>
        <w:rPr>
          <w:rFonts w:ascii="Arial" w:hAnsi="Arial" w:cs="Arial"/>
          <w:sz w:val="22"/>
          <w:rtl/>
        </w:rPr>
        <w:t>אם אתם זוג תמצאו לזה פתרון (משהו משותף לשתי העבודות או התרכזות באחת מהם).</w:t>
      </w:r>
    </w:p>
    <w:p>
      <w:pPr>
        <w:jc w:val="right"/>
        <w:bidi/>
      </w:pPr>
      <w:r>
        <w:rPr>
          <w:rFonts w:ascii="Arial" w:hAnsi="Arial" w:cs="Arial"/>
          <w:sz w:val="22"/>
          <w:rtl/>
        </w:rPr>
        <w:t>יש לנסות את המערכת על קלטים שונים ולחפש חוזקות וחולשות.</w:t>
      </w:r>
    </w:p>
    <w:p>
      <w:pPr>
        <w:jc w:val="right"/>
        <w:bidi/>
      </w:pPr>
      <w:r>
        <w:rPr>
          <w:rFonts w:ascii="Arial" w:hAnsi="Arial" w:cs="Arial"/>
          <w:sz w:val="22"/>
          <w:rtl/>
        </w:rPr>
        <w:t>אם ניתן לעשות למערכת finetuning זה גם טוב.</w:t>
      </w:r>
    </w:p>
    <w:p>
      <w:pPr>
        <w:jc w:val="right"/>
        <w:bidi/>
      </w:pPr>
      <w:r>
        <w:rPr>
          <w:rFonts w:ascii="Arial" w:hAnsi="Arial" w:cs="Arial"/>
          <w:sz w:val="22"/>
          <w:rtl/>
        </w:rPr>
        <w:t>מה שיש להגיש זה מסמך או מצגת שמתאר מה עשיתם.</w:t>
      </w:r>
    </w:p>
    <w:p>
      <w:pPr>
        <w:jc w:val="right"/>
        <w:bidi/>
      </w:pPr>
      <w:r>
        <w:rPr>
          <w:rFonts w:ascii="Arial" w:hAnsi="Arial" w:cs="Arial"/>
          <w:sz w:val="22"/>
          <w:rtl/>
        </w:rPr>
        <w:t>בהצלחה, אילן</w:t>
      </w:r>
    </w:p>
    <w:tbl>
      <w:tblPr>
        <w:tblStyle w:val="TableGrid"/>
        <w:tblW w:type="dxa" w:w="9360"/>
        <w:jc w:val="center"/>
        <w:tblLayout w:type="fixed"/>
        <w:tblLook w:firstColumn="1" w:firstRow="1" w:lastColumn="0" w:lastRow="0" w:noHBand="0" w:noVBand="1" w:val="04A0"/>
        <w:tblInd w:w="120" w:type="dxa"/>
      </w:tblPr>
      <w:tblGrid>
        <w:gridCol w:w="2900"/>
        <w:gridCol w:w="6460"/>
      </w:tblGrid>
      <w:tr>
        <w:tc>
          <w:tcPr>
            <w:tcW w:type="dxa" w:w="2900"/>
            <w:shd w:fill="F2F4F7"/>
            <w:vAlign w:val="center"/>
          </w:tcPr>
          <w:p>
            <w:pPr>
              <w:spacing w:after="0" w:line="240" w:lineRule="auto"/>
            </w:pPr>
            <w:r>
              <w:rPr>
                <w:rFonts w:ascii="Calibri" w:hAnsi="Calibri"/>
                <w:b/>
                <w:color w:val="0B2545"/>
                <w:sz w:val="18"/>
              </w:rPr>
              <w:t>Requirement</w:t>
            </w:r>
          </w:p>
        </w:tc>
        <w:tc>
          <w:tcPr>
            <w:tcW w:type="dxa" w:w="6460"/>
            <w:shd w:fill="F2F4F7"/>
            <w:vAlign w:val="center"/>
          </w:tcPr>
          <w:p>
            <w:pPr>
              <w:spacing w:after="0" w:line="240" w:lineRule="auto"/>
            </w:pPr>
            <w:r>
              <w:rPr>
                <w:rFonts w:ascii="Calibri" w:hAnsi="Calibri"/>
                <w:b/>
                <w:color w:val="0B2545"/>
                <w:sz w:val="18"/>
              </w:rPr>
              <w:t>Evidence in this submission</w:t>
            </w:r>
          </w:p>
        </w:tc>
      </w:tr>
      <w:tr>
        <w:tc>
          <w:tcPr>
            <w:tcW w:type="dxa" w:w="2900"/>
            <w:vAlign w:val="center"/>
          </w:tcPr>
          <w:p>
            <w:pPr>
              <w:spacing w:after="0" w:line="240" w:lineRule="auto"/>
            </w:pPr>
            <w:r>
              <w:rPr>
                <w:rFonts w:ascii="Calibri" w:hAnsi="Calibri"/>
                <w:sz w:val="18"/>
              </w:rPr>
              <w:t>Based on the presented paper</w:t>
            </w:r>
          </w:p>
        </w:tc>
        <w:tc>
          <w:tcPr>
            <w:tcW w:type="dxa" w:w="6460"/>
            <w:vAlign w:val="center"/>
          </w:tcPr>
          <w:p>
            <w:pPr>
              <w:spacing w:after="0" w:line="240" w:lineRule="auto"/>
            </w:pPr>
            <w:r>
              <w:rPr>
                <w:rFonts w:ascii="Calibri" w:hAnsi="Calibri"/>
                <w:sz w:val="18"/>
              </w:rPr>
              <w:t>Official VGGT code/checkpoint reproduction and paper-grounded analysis</w:t>
            </w:r>
          </w:p>
        </w:tc>
      </w:tr>
      <w:tr>
        <w:tc>
          <w:tcPr>
            <w:tcW w:type="dxa" w:w="2900"/>
            <w:vAlign w:val="center"/>
          </w:tcPr>
          <w:p>
            <w:pPr>
              <w:spacing w:after="0" w:line="240" w:lineRule="auto"/>
            </w:pPr>
            <w:r>
              <w:rPr>
                <w:rFonts w:ascii="Calibri" w:hAnsi="Calibri"/>
                <w:sz w:val="18"/>
              </w:rPr>
              <w:t>Shared direction for a pair</w:t>
            </w:r>
          </w:p>
        </w:tc>
        <w:tc>
          <w:tcPr>
            <w:tcW w:type="dxa" w:w="6460"/>
            <w:vAlign w:val="center"/>
          </w:tcPr>
          <w:p>
            <w:pPr>
              <w:spacing w:after="0" w:line="240" w:lineRule="auto"/>
            </w:pPr>
            <w:r>
              <w:rPr>
                <w:rFonts w:ascii="Calibri" w:hAnsi="Calibri"/>
                <w:sz w:val="18"/>
              </w:rPr>
              <w:t>Joint focus on robustness, synthetic accuracy, and adaptation</w:t>
            </w:r>
          </w:p>
        </w:tc>
      </w:tr>
      <w:tr>
        <w:tc>
          <w:tcPr>
            <w:tcW w:type="dxa" w:w="2900"/>
            <w:vAlign w:val="center"/>
          </w:tcPr>
          <w:p>
            <w:pPr>
              <w:spacing w:after="0" w:line="240" w:lineRule="auto"/>
            </w:pPr>
            <w:r>
              <w:rPr>
                <w:rFonts w:ascii="Calibri" w:hAnsi="Calibri"/>
                <w:sz w:val="18"/>
              </w:rPr>
              <w:t>Different inputs</w:t>
            </w:r>
          </w:p>
        </w:tc>
        <w:tc>
          <w:tcPr>
            <w:tcW w:type="dxa" w:w="6460"/>
            <w:vAlign w:val="center"/>
          </w:tcPr>
          <w:p>
            <w:pPr>
              <w:spacing w:after="0" w:line="240" w:lineRule="auto"/>
            </w:pPr>
            <w:r>
              <w:rPr>
                <w:rFonts w:ascii="Calibri" w:hAnsi="Calibri"/>
                <w:sz w:val="18"/>
              </w:rPr>
              <w:t>ETH3D indoor/outdoor plus synthetic TartanAir, 2/4/6/8/10 views</w:t>
            </w:r>
          </w:p>
        </w:tc>
      </w:tr>
      <w:tr>
        <w:tc>
          <w:tcPr>
            <w:tcW w:type="dxa" w:w="2900"/>
            <w:vAlign w:val="center"/>
          </w:tcPr>
          <w:p>
            <w:pPr>
              <w:spacing w:after="0" w:line="240" w:lineRule="auto"/>
            </w:pPr>
            <w:r>
              <w:rPr>
                <w:rFonts w:ascii="Calibri" w:hAnsi="Calibri"/>
                <w:sz w:val="18"/>
              </w:rPr>
              <w:t>Strengths and weaknesses</w:t>
            </w:r>
          </w:p>
        </w:tc>
        <w:tc>
          <w:tcPr>
            <w:tcW w:type="dxa" w:w="6460"/>
            <w:vAlign w:val="center"/>
          </w:tcPr>
          <w:p>
            <w:pPr>
              <w:spacing w:after="0" w:line="240" w:lineRule="auto"/>
            </w:pPr>
            <w:r>
              <w:rPr>
                <w:rFonts w:ascii="Calibri" w:hAnsi="Calibri"/>
                <w:sz w:val="18"/>
              </w:rPr>
              <w:t>Measured geometry, confidence, memory, failure and overfitting analysis</w:t>
            </w:r>
          </w:p>
        </w:tc>
      </w:tr>
      <w:tr>
        <w:tc>
          <w:tcPr>
            <w:tcW w:type="dxa" w:w="2900"/>
            <w:vAlign w:val="center"/>
          </w:tcPr>
          <w:p>
            <w:pPr>
              <w:spacing w:after="0" w:line="240" w:lineRule="auto"/>
            </w:pPr>
            <w:r>
              <w:rPr>
                <w:rFonts w:ascii="Calibri" w:hAnsi="Calibri"/>
                <w:sz w:val="18"/>
              </w:rPr>
              <w:t>Fine-tuning if feasible</w:t>
            </w:r>
          </w:p>
        </w:tc>
        <w:tc>
          <w:tcPr>
            <w:tcW w:type="dxa" w:w="6460"/>
            <w:vAlign w:val="center"/>
          </w:tcPr>
          <w:p>
            <w:pPr>
              <w:spacing w:after="0" w:line="240" w:lineRule="auto"/>
            </w:pPr>
            <w:r>
              <w:rPr>
                <w:rFonts w:ascii="Calibri" w:hAnsi="Calibri"/>
                <w:sz w:val="18"/>
              </w:rPr>
              <w:t>Measured RTX 5080 probe, 30-step head adaptation, held-out comparison</w:t>
            </w:r>
          </w:p>
        </w:tc>
      </w:tr>
      <w:tr>
        <w:tc>
          <w:tcPr>
            <w:tcW w:type="dxa" w:w="2900"/>
            <w:vAlign w:val="center"/>
          </w:tcPr>
          <w:p>
            <w:pPr>
              <w:spacing w:after="0" w:line="240" w:lineRule="auto"/>
            </w:pPr>
            <w:r>
              <w:rPr>
                <w:rFonts w:ascii="Calibri" w:hAnsi="Calibri"/>
                <w:sz w:val="18"/>
              </w:rPr>
              <w:t>Document or presentation</w:t>
            </w:r>
          </w:p>
        </w:tc>
        <w:tc>
          <w:tcPr>
            <w:tcW w:type="dxa" w:w="6460"/>
            <w:vAlign w:val="center"/>
          </w:tcPr>
          <w:p>
            <w:pPr>
              <w:spacing w:after="0" w:line="240" w:lineRule="auto"/>
            </w:pPr>
            <w:r>
              <w:rPr>
                <w:rFonts w:ascii="Calibri" w:hAnsi="Calibri"/>
                <w:sz w:val="18"/>
              </w:rPr>
              <w:t>This illustrated report and reproducible project artifacts</w:t>
            </w:r>
          </w:p>
        </w:tc>
      </w:tr>
    </w:tbl>
    <w:p/>
    <w:p>
      <w:pPr>
        <w:pStyle w:val="Heading1"/>
        <w:keepNext/>
      </w:pPr>
      <w:r>
        <w:t>1. VGGT and the study design</w:t>
      </w:r>
    </w:p>
    <w:p>
      <w:r>
        <w:t>VGGT predicts camera parameters, depth, point maps, confidence, and tracks from one or more same-scene RGB images in a single feed-forward model. DINOv2 image tokens enter an aggregator alternating frame-local and global attention; task-specific heads decode geometry.</w:t>
      </w:r>
    </w:p>
    <w:p>
      <w:pPr>
        <w:keepNext/>
        <w:jc w:val="center"/>
      </w:pPr>
      <w:r>
        <w:drawing>
          <wp:inline xmlns:a="http://schemas.openxmlformats.org/drawingml/2006/main" xmlns:pic="http://schemas.openxmlformats.org/drawingml/2006/picture">
            <wp:extent cx="5577840" cy="3036824"/>
            <wp:docPr id="1" name="Picture 1"/>
            <wp:cNvGraphicFramePr>
              <a:graphicFrameLocks noChangeAspect="1"/>
            </wp:cNvGraphicFramePr>
            <a:graphic>
              <a:graphicData uri="http://schemas.openxmlformats.org/drawingml/2006/picture">
                <pic:pic>
                  <pic:nvPicPr>
                    <pic:cNvPr id="0" name="vggt_architecture.png"/>
                    <pic:cNvPicPr/>
                  </pic:nvPicPr>
                  <pic:blipFill>
                    <a:blip r:embed="rId11"/>
                    <a:stretch>
                      <a:fillRect/>
                    </a:stretch>
                  </pic:blipFill>
                  <pic:spPr>
                    <a:xfrm>
                      <a:off x="0" y="0"/>
                      <a:ext cx="5577840" cy="3036824"/>
                    </a:xfrm>
                    <a:prstGeom prst="rect"/>
                  </pic:spPr>
                </pic:pic>
              </a:graphicData>
            </a:graphic>
          </wp:inline>
        </w:drawing>
      </w:r>
    </w:p>
    <w:p>
      <w:pPr>
        <w:spacing w:after="160"/>
        <w:jc w:val="center"/>
      </w:pPr>
      <w:r>
        <w:rPr>
          <w:rFonts w:ascii="Calibri" w:hAnsi="Calibri"/>
          <w:i/>
          <w:color w:val="5C6773"/>
          <w:sz w:val="18"/>
        </w:rPr>
        <w:t>Figure 1. Project-authored summary of the VGGT architecture.</w:t>
      </w:r>
    </w:p>
    <w:p>
      <w:r>
        <w:t>The experimental ladder separates operational reproduction, controlled real-scene view-count testing, held-out synthetic scoring, and bounded adaptation. Predictions are never compared in raw scale: camera centers use Sim(3) alignment and depth uses a global median scale.</w:t>
      </w:r>
    </w:p>
    <w:p>
      <w:pPr>
        <w:pStyle w:val="Heading1"/>
        <w:keepNext/>
      </w:pPr>
      <w:r>
        <w:t>2. Inputs and frozen protocol</w:t>
      </w:r>
    </w:p>
    <w:p>
      <w:r>
        <w:t>The existing study uses ETH3D delivery_area and courtyard with deterministic overlap-aware nested subsets. V3 adds TartanAir V2 ArchVizTinyHouseDay/easy. TartanAir is not listed in the VGGT training inventory recorded from the paper, although unreported overlap cannot be excluded.</w:t>
      </w:r>
    </w:p>
    <w:p>
      <w:pPr>
        <w:keepNext/>
        <w:jc w:val="center"/>
      </w:pPr>
      <w:r>
        <w:drawing>
          <wp:inline xmlns:a="http://schemas.openxmlformats.org/drawingml/2006/main" xmlns:pic="http://schemas.openxmlformats.org/drawingml/2006/picture">
            <wp:extent cx="5897880" cy="2635615"/>
            <wp:docPr id="2" name="Picture 2"/>
            <wp:cNvGraphicFramePr>
              <a:graphicFrameLocks noChangeAspect="1"/>
            </wp:cNvGraphicFramePr>
            <a:graphic>
              <a:graphicData uri="http://schemas.openxmlformats.org/drawingml/2006/picture">
                <pic:pic>
                  <pic:nvPicPr>
                    <pic:cNvPr id="0" name="selected_contact_sheet.jpg"/>
                    <pic:cNvPicPr/>
                  </pic:nvPicPr>
                  <pic:blipFill>
                    <a:blip r:embed="rId12"/>
                    <a:stretch>
                      <a:fillRect/>
                    </a:stretch>
                  </pic:blipFill>
                  <pic:spPr>
                    <a:xfrm>
                      <a:off x="0" y="0"/>
                      <a:ext cx="5897880" cy="2635615"/>
                    </a:xfrm>
                    <a:prstGeom prst="rect"/>
                  </pic:spPr>
                </pic:pic>
              </a:graphicData>
            </a:graphic>
          </wp:inline>
        </w:drawing>
      </w:r>
    </w:p>
    <w:p>
      <w:pPr>
        <w:spacing w:after="160"/>
        <w:jc w:val="center"/>
      </w:pPr>
      <w:r>
        <w:rPr>
          <w:rFonts w:ascii="Calibri" w:hAnsi="Calibri"/>
          <w:i/>
          <w:color w:val="5C6773"/>
          <w:sz w:val="18"/>
        </w:rPr>
        <w:t>Figure 2. Frozen P000 frames 20-29. Adjacent pairs retain at least 136 RANSAC inliers across 1.91 m of ground-truth path motion.</w:t>
      </w:r>
    </w:p>
    <w:tbl>
      <w:tblPr>
        <w:tblStyle w:val="TableGrid"/>
        <w:tblW w:type="dxa" w:w="9360"/>
        <w:jc w:val="center"/>
        <w:tblLayout w:type="fixed"/>
        <w:tblLook w:firstColumn="1" w:firstRow="1" w:lastColumn="0" w:lastRow="0" w:noHBand="0" w:noVBand="1" w:val="04A0"/>
        <w:tblInd w:w="120" w:type="dxa"/>
      </w:tblPr>
      <w:tblGrid>
        <w:gridCol w:w="1700"/>
        <w:gridCol w:w="2200"/>
        <w:gridCol w:w="5460"/>
      </w:tblGrid>
      <w:tr>
        <w:tc>
          <w:tcPr>
            <w:tcW w:type="dxa" w:w="1700"/>
            <w:shd w:fill="F2F4F7"/>
            <w:vAlign w:val="center"/>
          </w:tcPr>
          <w:p>
            <w:pPr>
              <w:spacing w:after="0" w:line="240" w:lineRule="auto"/>
            </w:pPr>
            <w:r>
              <w:rPr>
                <w:rFonts w:ascii="Calibri" w:hAnsi="Calibri"/>
                <w:b/>
                <w:color w:val="0B2545"/>
                <w:sz w:val="18"/>
              </w:rPr>
              <w:t>Role</w:t>
            </w:r>
          </w:p>
        </w:tc>
        <w:tc>
          <w:tcPr>
            <w:tcW w:type="dxa" w:w="2200"/>
            <w:shd w:fill="F2F4F7"/>
            <w:vAlign w:val="center"/>
          </w:tcPr>
          <w:p>
            <w:pPr>
              <w:spacing w:after="0" w:line="240" w:lineRule="auto"/>
            </w:pPr>
            <w:r>
              <w:rPr>
                <w:rFonts w:ascii="Calibri" w:hAnsi="Calibri"/>
                <w:b/>
                <w:color w:val="0B2545"/>
                <w:sz w:val="18"/>
              </w:rPr>
              <w:t>Trajectories</w:t>
            </w:r>
          </w:p>
        </w:tc>
        <w:tc>
          <w:tcPr>
            <w:tcW w:type="dxa" w:w="5460"/>
            <w:shd w:fill="F2F4F7"/>
            <w:vAlign w:val="center"/>
          </w:tcPr>
          <w:p>
            <w:pPr>
              <w:spacing w:after="0" w:line="240" w:lineRule="auto"/>
            </w:pPr>
            <w:r>
              <w:rPr>
                <w:rFonts w:ascii="Calibri" w:hAnsi="Calibri"/>
                <w:b/>
                <w:color w:val="0B2545"/>
                <w:sz w:val="18"/>
              </w:rPr>
              <w:t>Use</w:t>
            </w:r>
          </w:p>
        </w:tc>
      </w:tr>
      <w:tr>
        <w:tc>
          <w:tcPr>
            <w:tcW w:type="dxa" w:w="1700"/>
            <w:vAlign w:val="center"/>
          </w:tcPr>
          <w:p>
            <w:pPr>
              <w:spacing w:after="0" w:line="240" w:lineRule="auto"/>
            </w:pPr>
            <w:r>
              <w:rPr>
                <w:rFonts w:ascii="Calibri" w:hAnsi="Calibri"/>
                <w:sz w:val="18"/>
              </w:rPr>
              <w:t>Training</w:t>
            </w:r>
          </w:p>
        </w:tc>
        <w:tc>
          <w:tcPr>
            <w:tcW w:type="dxa" w:w="2200"/>
            <w:vAlign w:val="center"/>
          </w:tcPr>
          <w:p>
            <w:pPr>
              <w:spacing w:after="0" w:line="240" w:lineRule="auto"/>
            </w:pPr>
            <w:r>
              <w:rPr>
                <w:rFonts w:ascii="Calibri" w:hAnsi="Calibri"/>
                <w:sz w:val="18"/>
              </w:rPr>
              <w:t>P001-P005</w:t>
            </w:r>
          </w:p>
        </w:tc>
        <w:tc>
          <w:tcPr>
            <w:tcW w:type="dxa" w:w="5460"/>
            <w:vAlign w:val="center"/>
          </w:tcPr>
          <w:p>
            <w:pPr>
              <w:spacing w:after="0" w:line="240" w:lineRule="auto"/>
            </w:pPr>
            <w:r>
              <w:rPr>
                <w:rFonts w:ascii="Calibri" w:hAnsi="Calibri"/>
                <w:sz w:val="18"/>
              </w:rPr>
              <w:t>Only for the bounded adaptation</w:t>
            </w:r>
          </w:p>
        </w:tc>
      </w:tr>
      <w:tr>
        <w:tc>
          <w:tcPr>
            <w:tcW w:type="dxa" w:w="1700"/>
            <w:vAlign w:val="center"/>
          </w:tcPr>
          <w:p>
            <w:pPr>
              <w:spacing w:after="0" w:line="240" w:lineRule="auto"/>
            </w:pPr>
            <w:r>
              <w:rPr>
                <w:rFonts w:ascii="Calibri" w:hAnsi="Calibri"/>
                <w:sz w:val="18"/>
              </w:rPr>
              <w:t>Validation</w:t>
            </w:r>
          </w:p>
        </w:tc>
        <w:tc>
          <w:tcPr>
            <w:tcW w:type="dxa" w:w="2200"/>
            <w:vAlign w:val="center"/>
          </w:tcPr>
          <w:p>
            <w:pPr>
              <w:spacing w:after="0" w:line="240" w:lineRule="auto"/>
            </w:pPr>
            <w:r>
              <w:rPr>
                <w:rFonts w:ascii="Calibri" w:hAnsi="Calibri"/>
                <w:sz w:val="18"/>
              </w:rPr>
              <w:t>P006</w:t>
            </w:r>
          </w:p>
        </w:tc>
        <w:tc>
          <w:tcPr>
            <w:tcW w:type="dxa" w:w="5460"/>
            <w:vAlign w:val="center"/>
          </w:tcPr>
          <w:p>
            <w:pPr>
              <w:spacing w:after="0" w:line="240" w:lineRule="auto"/>
            </w:pPr>
            <w:r>
              <w:rPr>
                <w:rFonts w:ascii="Calibri" w:hAnsi="Calibri"/>
                <w:sz w:val="18"/>
              </w:rPr>
              <w:t>Checkpoint selection; best at step 15</w:t>
            </w:r>
          </w:p>
        </w:tc>
      </w:tr>
      <w:tr>
        <w:tc>
          <w:tcPr>
            <w:tcW w:type="dxa" w:w="1700"/>
            <w:vAlign w:val="center"/>
          </w:tcPr>
          <w:p>
            <w:pPr>
              <w:spacing w:after="0" w:line="240" w:lineRule="auto"/>
            </w:pPr>
            <w:r>
              <w:rPr>
                <w:rFonts w:ascii="Calibri" w:hAnsi="Calibri"/>
                <w:sz w:val="18"/>
              </w:rPr>
              <w:t>Test</w:t>
            </w:r>
          </w:p>
        </w:tc>
        <w:tc>
          <w:tcPr>
            <w:tcW w:type="dxa" w:w="2200"/>
            <w:vAlign w:val="center"/>
          </w:tcPr>
          <w:p>
            <w:pPr>
              <w:spacing w:after="0" w:line="240" w:lineRule="auto"/>
            </w:pPr>
            <w:r>
              <w:rPr>
                <w:rFonts w:ascii="Calibri" w:hAnsi="Calibri"/>
                <w:sz w:val="18"/>
              </w:rPr>
              <w:t>P000</w:t>
            </w:r>
          </w:p>
        </w:tc>
        <w:tc>
          <w:tcPr>
            <w:tcW w:type="dxa" w:w="5460"/>
            <w:vAlign w:val="center"/>
          </w:tcPr>
          <w:p>
            <w:pPr>
              <w:spacing w:after="0" w:line="240" w:lineRule="auto"/>
            </w:pPr>
            <w:r>
              <w:rPr>
                <w:rFonts w:ascii="Calibri" w:hAnsi="Calibri"/>
                <w:sz w:val="18"/>
              </w:rPr>
              <w:t>Untouched baseline/adapted comparison</w:t>
            </w:r>
          </w:p>
        </w:tc>
      </w:tr>
    </w:tbl>
    <w:p/>
    <w:p>
      <w:pPr>
        <w:pStyle w:val="Heading1"/>
        <w:keepNext/>
      </w:pPr>
      <w:r>
        <w:t>3. Pretrained synthetic baseline</w:t>
      </w:r>
    </w:p>
    <w:tbl>
      <w:tblPr>
        <w:tblStyle w:val="TableGrid"/>
        <w:tblW w:type="dxa" w:w="8360"/>
        <w:jc w:val="center"/>
        <w:tblLayout w:type="fixed"/>
        <w:tblLook w:firstColumn="1" w:firstRow="1" w:lastColumn="0" w:lastRow="0" w:noHBand="0" w:noVBand="1" w:val="04A0"/>
        <w:tblInd w:w="120" w:type="dxa"/>
      </w:tblPr>
      <w:tblGrid>
        <w:gridCol w:w="850"/>
        <w:gridCol w:w="1200"/>
        <w:gridCol w:w="1100"/>
        <w:gridCol w:w="1100"/>
        <w:gridCol w:w="1700"/>
        <w:gridCol w:w="1300"/>
        <w:gridCol w:w="1110"/>
      </w:tblGrid>
      <w:tr>
        <w:tc>
          <w:tcPr>
            <w:tcW w:type="dxa" w:w="850"/>
            <w:shd w:fill="F2F4F7"/>
            <w:vAlign w:val="center"/>
          </w:tcPr>
          <w:p>
            <w:pPr>
              <w:spacing w:after="0" w:line="240" w:lineRule="auto"/>
            </w:pPr>
            <w:r>
              <w:rPr>
                <w:rFonts w:ascii="Calibri" w:hAnsi="Calibri"/>
                <w:b/>
                <w:color w:val="0B2545"/>
                <w:sz w:val="18"/>
              </w:rPr>
              <w:t>Views</w:t>
            </w:r>
          </w:p>
        </w:tc>
        <w:tc>
          <w:tcPr>
            <w:tcW w:type="dxa" w:w="1200"/>
            <w:shd w:fill="F2F4F7"/>
            <w:vAlign w:val="center"/>
          </w:tcPr>
          <w:p>
            <w:pPr>
              <w:spacing w:after="0" w:line="240" w:lineRule="auto"/>
            </w:pPr>
            <w:r>
              <w:rPr>
                <w:rFonts w:ascii="Calibri" w:hAnsi="Calibri"/>
                <w:b/>
                <w:color w:val="0B2545"/>
                <w:sz w:val="18"/>
              </w:rPr>
              <w:t>AbsRel</w:t>
            </w:r>
          </w:p>
        </w:tc>
        <w:tc>
          <w:tcPr>
            <w:tcW w:type="dxa" w:w="1100"/>
            <w:shd w:fill="F2F4F7"/>
            <w:vAlign w:val="center"/>
          </w:tcPr>
          <w:p>
            <w:pPr>
              <w:spacing w:after="0" w:line="240" w:lineRule="auto"/>
            </w:pPr>
            <w:r>
              <w:rPr>
                <w:rFonts w:ascii="Calibri" w:hAnsi="Calibri"/>
                <w:b/>
                <w:color w:val="0B2545"/>
                <w:sz w:val="18"/>
              </w:rPr>
              <w:t>delta-1</w:t>
            </w:r>
          </w:p>
        </w:tc>
        <w:tc>
          <w:tcPr>
            <w:tcW w:type="dxa" w:w="1100"/>
            <w:shd w:fill="F2F4F7"/>
            <w:vAlign w:val="center"/>
          </w:tcPr>
          <w:p>
            <w:pPr>
              <w:spacing w:after="0" w:line="240" w:lineRule="auto"/>
            </w:pPr>
            <w:r>
              <w:rPr>
                <w:rFonts w:ascii="Calibri" w:hAnsi="Calibri"/>
                <w:b/>
                <w:color w:val="0B2545"/>
                <w:sz w:val="18"/>
              </w:rPr>
              <w:t>Rot. deg</w:t>
            </w:r>
          </w:p>
        </w:tc>
        <w:tc>
          <w:tcPr>
            <w:tcW w:type="dxa" w:w="1700"/>
            <w:shd w:fill="F2F4F7"/>
            <w:vAlign w:val="center"/>
          </w:tcPr>
          <w:p>
            <w:pPr>
              <w:spacing w:after="0" w:line="240" w:lineRule="auto"/>
            </w:pPr>
            <w:r>
              <w:rPr>
                <w:rFonts w:ascii="Calibri" w:hAnsi="Calibri"/>
                <w:b/>
                <w:color w:val="0B2545"/>
                <w:sz w:val="18"/>
              </w:rPr>
              <w:t>Conf/error rho</w:t>
            </w:r>
          </w:p>
        </w:tc>
        <w:tc>
          <w:tcPr>
            <w:tcW w:type="dxa" w:w="1300"/>
            <w:shd w:fill="F2F4F7"/>
            <w:vAlign w:val="center"/>
          </w:tcPr>
          <w:p>
            <w:pPr>
              <w:spacing w:after="0" w:line="240" w:lineRule="auto"/>
            </w:pPr>
            <w:r>
              <w:rPr>
                <w:rFonts w:ascii="Calibri" w:hAnsi="Calibri"/>
                <w:b/>
                <w:color w:val="0B2545"/>
                <w:sz w:val="18"/>
              </w:rPr>
              <w:t>Forward</w:t>
            </w:r>
          </w:p>
        </w:tc>
        <w:tc>
          <w:tcPr>
            <w:tcW w:type="dxa" w:w="1110"/>
            <w:shd w:fill="F2F4F7"/>
            <w:vAlign w:val="center"/>
          </w:tcPr>
          <w:p>
            <w:pPr>
              <w:spacing w:after="0" w:line="240" w:lineRule="auto"/>
            </w:pPr>
            <w:r>
              <w:rPr>
                <w:rFonts w:ascii="Calibri" w:hAnsi="Calibri"/>
                <w:b/>
                <w:color w:val="0B2545"/>
                <w:sz w:val="18"/>
              </w:rPr>
              <w:t>GiB</w:t>
            </w:r>
          </w:p>
        </w:tc>
      </w:tr>
      <w:tr>
        <w:tc>
          <w:tcPr>
            <w:tcW w:type="dxa" w:w="850"/>
            <w:vAlign w:val="center"/>
          </w:tcPr>
          <w:p>
            <w:pPr>
              <w:spacing w:after="0" w:line="240" w:lineRule="auto"/>
            </w:pPr>
            <w:r>
              <w:rPr>
                <w:rFonts w:ascii="Calibri" w:hAnsi="Calibri"/>
                <w:sz w:val="18"/>
              </w:rPr>
              <w:t>S2</w:t>
            </w:r>
          </w:p>
        </w:tc>
        <w:tc>
          <w:tcPr>
            <w:tcW w:type="dxa" w:w="1200"/>
            <w:vAlign w:val="center"/>
          </w:tcPr>
          <w:p>
            <w:pPr>
              <w:spacing w:after="0" w:line="240" w:lineRule="auto"/>
            </w:pPr>
            <w:r>
              <w:rPr>
                <w:rFonts w:ascii="Calibri" w:hAnsi="Calibri"/>
                <w:sz w:val="18"/>
              </w:rPr>
              <w:t>3.14%</w:t>
            </w:r>
          </w:p>
        </w:tc>
        <w:tc>
          <w:tcPr>
            <w:tcW w:type="dxa" w:w="1100"/>
            <w:vAlign w:val="center"/>
          </w:tcPr>
          <w:p>
            <w:pPr>
              <w:spacing w:after="0" w:line="240" w:lineRule="auto"/>
            </w:pPr>
            <w:r>
              <w:rPr>
                <w:rFonts w:ascii="Calibri" w:hAnsi="Calibri"/>
                <w:sz w:val="18"/>
              </w:rPr>
              <w:t>0.978</w:t>
            </w:r>
          </w:p>
        </w:tc>
        <w:tc>
          <w:tcPr>
            <w:tcW w:type="dxa" w:w="1100"/>
            <w:vAlign w:val="center"/>
          </w:tcPr>
          <w:p>
            <w:pPr>
              <w:spacing w:after="0" w:line="240" w:lineRule="auto"/>
            </w:pPr>
            <w:r>
              <w:rPr>
                <w:rFonts w:ascii="Calibri" w:hAnsi="Calibri"/>
                <w:sz w:val="18"/>
              </w:rPr>
              <w:t>0.089</w:t>
            </w:r>
          </w:p>
        </w:tc>
        <w:tc>
          <w:tcPr>
            <w:tcW w:type="dxa" w:w="1700"/>
            <w:vAlign w:val="center"/>
          </w:tcPr>
          <w:p>
            <w:pPr>
              <w:spacing w:after="0" w:line="240" w:lineRule="auto"/>
            </w:pPr>
            <w:r>
              <w:rPr>
                <w:rFonts w:ascii="Calibri" w:hAnsi="Calibri"/>
                <w:sz w:val="18"/>
              </w:rPr>
              <w:t>-0.641</w:t>
            </w:r>
          </w:p>
        </w:tc>
        <w:tc>
          <w:tcPr>
            <w:tcW w:type="dxa" w:w="1300"/>
            <w:vAlign w:val="center"/>
          </w:tcPr>
          <w:p>
            <w:pPr>
              <w:spacing w:after="0" w:line="240" w:lineRule="auto"/>
            </w:pPr>
            <w:r>
              <w:rPr>
                <w:rFonts w:ascii="Calibri" w:hAnsi="Calibri"/>
                <w:sz w:val="18"/>
              </w:rPr>
              <w:t>0.545s</w:t>
            </w:r>
          </w:p>
        </w:tc>
        <w:tc>
          <w:tcPr>
            <w:tcW w:type="dxa" w:w="1110"/>
            <w:vAlign w:val="center"/>
          </w:tcPr>
          <w:p>
            <w:pPr>
              <w:spacing w:after="0" w:line="240" w:lineRule="auto"/>
            </w:pPr>
            <w:r>
              <w:rPr>
                <w:rFonts w:ascii="Calibri" w:hAnsi="Calibri"/>
                <w:sz w:val="18"/>
              </w:rPr>
              <w:t>5.15</w:t>
            </w:r>
          </w:p>
        </w:tc>
      </w:tr>
      <w:tr>
        <w:tc>
          <w:tcPr>
            <w:tcW w:type="dxa" w:w="850"/>
            <w:vAlign w:val="center"/>
          </w:tcPr>
          <w:p>
            <w:pPr>
              <w:spacing w:after="0" w:line="240" w:lineRule="auto"/>
            </w:pPr>
            <w:r>
              <w:rPr>
                <w:rFonts w:ascii="Calibri" w:hAnsi="Calibri"/>
                <w:sz w:val="18"/>
              </w:rPr>
              <w:t>S4</w:t>
            </w:r>
          </w:p>
        </w:tc>
        <w:tc>
          <w:tcPr>
            <w:tcW w:type="dxa" w:w="1200"/>
            <w:vAlign w:val="center"/>
          </w:tcPr>
          <w:p>
            <w:pPr>
              <w:spacing w:after="0" w:line="240" w:lineRule="auto"/>
            </w:pPr>
            <w:r>
              <w:rPr>
                <w:rFonts w:ascii="Calibri" w:hAnsi="Calibri"/>
                <w:sz w:val="18"/>
              </w:rPr>
              <w:t>3.55%</w:t>
            </w:r>
          </w:p>
        </w:tc>
        <w:tc>
          <w:tcPr>
            <w:tcW w:type="dxa" w:w="1100"/>
            <w:vAlign w:val="center"/>
          </w:tcPr>
          <w:p>
            <w:pPr>
              <w:spacing w:after="0" w:line="240" w:lineRule="auto"/>
            </w:pPr>
            <w:r>
              <w:rPr>
                <w:rFonts w:ascii="Calibri" w:hAnsi="Calibri"/>
                <w:sz w:val="18"/>
              </w:rPr>
              <w:t>0.972</w:t>
            </w:r>
          </w:p>
        </w:tc>
        <w:tc>
          <w:tcPr>
            <w:tcW w:type="dxa" w:w="1100"/>
            <w:vAlign w:val="center"/>
          </w:tcPr>
          <w:p>
            <w:pPr>
              <w:spacing w:after="0" w:line="240" w:lineRule="auto"/>
            </w:pPr>
            <w:r>
              <w:rPr>
                <w:rFonts w:ascii="Calibri" w:hAnsi="Calibri"/>
                <w:sz w:val="18"/>
              </w:rPr>
              <w:t>0.361</w:t>
            </w:r>
          </w:p>
        </w:tc>
        <w:tc>
          <w:tcPr>
            <w:tcW w:type="dxa" w:w="1700"/>
            <w:vAlign w:val="center"/>
          </w:tcPr>
          <w:p>
            <w:pPr>
              <w:spacing w:after="0" w:line="240" w:lineRule="auto"/>
            </w:pPr>
            <w:r>
              <w:rPr>
                <w:rFonts w:ascii="Calibri" w:hAnsi="Calibri"/>
                <w:sz w:val="18"/>
              </w:rPr>
              <w:t>-0.467</w:t>
            </w:r>
          </w:p>
        </w:tc>
        <w:tc>
          <w:tcPr>
            <w:tcW w:type="dxa" w:w="1300"/>
            <w:vAlign w:val="center"/>
          </w:tcPr>
          <w:p>
            <w:pPr>
              <w:spacing w:after="0" w:line="240" w:lineRule="auto"/>
            </w:pPr>
            <w:r>
              <w:rPr>
                <w:rFonts w:ascii="Calibri" w:hAnsi="Calibri"/>
                <w:sz w:val="18"/>
              </w:rPr>
              <w:t>0.351s</w:t>
            </w:r>
          </w:p>
        </w:tc>
        <w:tc>
          <w:tcPr>
            <w:tcW w:type="dxa" w:w="1110"/>
            <w:vAlign w:val="center"/>
          </w:tcPr>
          <w:p>
            <w:pPr>
              <w:spacing w:after="0" w:line="240" w:lineRule="auto"/>
            </w:pPr>
            <w:r>
              <w:rPr>
                <w:rFonts w:ascii="Calibri" w:hAnsi="Calibri"/>
                <w:sz w:val="18"/>
              </w:rPr>
              <w:t>5.68</w:t>
            </w:r>
          </w:p>
        </w:tc>
      </w:tr>
      <w:tr>
        <w:tc>
          <w:tcPr>
            <w:tcW w:type="dxa" w:w="850"/>
            <w:vAlign w:val="center"/>
          </w:tcPr>
          <w:p>
            <w:pPr>
              <w:spacing w:after="0" w:line="240" w:lineRule="auto"/>
            </w:pPr>
            <w:r>
              <w:rPr>
                <w:rFonts w:ascii="Calibri" w:hAnsi="Calibri"/>
                <w:sz w:val="18"/>
              </w:rPr>
              <w:t>S6</w:t>
            </w:r>
          </w:p>
        </w:tc>
        <w:tc>
          <w:tcPr>
            <w:tcW w:type="dxa" w:w="1200"/>
            <w:vAlign w:val="center"/>
          </w:tcPr>
          <w:p>
            <w:pPr>
              <w:spacing w:after="0" w:line="240" w:lineRule="auto"/>
            </w:pPr>
            <w:r>
              <w:rPr>
                <w:rFonts w:ascii="Calibri" w:hAnsi="Calibri"/>
                <w:sz w:val="18"/>
              </w:rPr>
              <w:t>3.73%</w:t>
            </w:r>
          </w:p>
        </w:tc>
        <w:tc>
          <w:tcPr>
            <w:tcW w:type="dxa" w:w="1100"/>
            <w:vAlign w:val="center"/>
          </w:tcPr>
          <w:p>
            <w:pPr>
              <w:spacing w:after="0" w:line="240" w:lineRule="auto"/>
            </w:pPr>
            <w:r>
              <w:rPr>
                <w:rFonts w:ascii="Calibri" w:hAnsi="Calibri"/>
                <w:sz w:val="18"/>
              </w:rPr>
              <w:t>0.966</w:t>
            </w:r>
          </w:p>
        </w:tc>
        <w:tc>
          <w:tcPr>
            <w:tcW w:type="dxa" w:w="1100"/>
            <w:vAlign w:val="center"/>
          </w:tcPr>
          <w:p>
            <w:pPr>
              <w:spacing w:after="0" w:line="240" w:lineRule="auto"/>
            </w:pPr>
            <w:r>
              <w:rPr>
                <w:rFonts w:ascii="Calibri" w:hAnsi="Calibri"/>
                <w:sz w:val="18"/>
              </w:rPr>
              <w:t>0.601</w:t>
            </w:r>
          </w:p>
        </w:tc>
        <w:tc>
          <w:tcPr>
            <w:tcW w:type="dxa" w:w="1700"/>
            <w:vAlign w:val="center"/>
          </w:tcPr>
          <w:p>
            <w:pPr>
              <w:spacing w:after="0" w:line="240" w:lineRule="auto"/>
            </w:pPr>
            <w:r>
              <w:rPr>
                <w:rFonts w:ascii="Calibri" w:hAnsi="Calibri"/>
                <w:sz w:val="18"/>
              </w:rPr>
              <w:t>-0.546</w:t>
            </w:r>
          </w:p>
        </w:tc>
        <w:tc>
          <w:tcPr>
            <w:tcW w:type="dxa" w:w="1300"/>
            <w:vAlign w:val="center"/>
          </w:tcPr>
          <w:p>
            <w:pPr>
              <w:spacing w:after="0" w:line="240" w:lineRule="auto"/>
            </w:pPr>
            <w:r>
              <w:rPr>
                <w:rFonts w:ascii="Calibri" w:hAnsi="Calibri"/>
                <w:sz w:val="18"/>
              </w:rPr>
              <w:t>0.548s</w:t>
            </w:r>
          </w:p>
        </w:tc>
        <w:tc>
          <w:tcPr>
            <w:tcW w:type="dxa" w:w="1110"/>
            <w:vAlign w:val="center"/>
          </w:tcPr>
          <w:p>
            <w:pPr>
              <w:spacing w:after="0" w:line="240" w:lineRule="auto"/>
            </w:pPr>
            <w:r>
              <w:rPr>
                <w:rFonts w:ascii="Calibri" w:hAnsi="Calibri"/>
                <w:sz w:val="18"/>
              </w:rPr>
              <w:t>6.35</w:t>
            </w:r>
          </w:p>
        </w:tc>
      </w:tr>
      <w:tr>
        <w:tc>
          <w:tcPr>
            <w:tcW w:type="dxa" w:w="850"/>
            <w:vAlign w:val="center"/>
          </w:tcPr>
          <w:p>
            <w:pPr>
              <w:spacing w:after="0" w:line="240" w:lineRule="auto"/>
            </w:pPr>
            <w:r>
              <w:rPr>
                <w:rFonts w:ascii="Calibri" w:hAnsi="Calibri"/>
                <w:sz w:val="18"/>
              </w:rPr>
              <w:t>S8</w:t>
            </w:r>
          </w:p>
        </w:tc>
        <w:tc>
          <w:tcPr>
            <w:tcW w:type="dxa" w:w="1200"/>
            <w:vAlign w:val="center"/>
          </w:tcPr>
          <w:p>
            <w:pPr>
              <w:spacing w:after="0" w:line="240" w:lineRule="auto"/>
            </w:pPr>
            <w:r>
              <w:rPr>
                <w:rFonts w:ascii="Calibri" w:hAnsi="Calibri"/>
                <w:sz w:val="18"/>
              </w:rPr>
              <w:t>5.29%</w:t>
            </w:r>
          </w:p>
        </w:tc>
        <w:tc>
          <w:tcPr>
            <w:tcW w:type="dxa" w:w="1100"/>
            <w:vAlign w:val="center"/>
          </w:tcPr>
          <w:p>
            <w:pPr>
              <w:spacing w:after="0" w:line="240" w:lineRule="auto"/>
            </w:pPr>
            <w:r>
              <w:rPr>
                <w:rFonts w:ascii="Calibri" w:hAnsi="Calibri"/>
                <w:sz w:val="18"/>
              </w:rPr>
              <w:t>0.956</w:t>
            </w:r>
          </w:p>
        </w:tc>
        <w:tc>
          <w:tcPr>
            <w:tcW w:type="dxa" w:w="1100"/>
            <w:vAlign w:val="center"/>
          </w:tcPr>
          <w:p>
            <w:pPr>
              <w:spacing w:after="0" w:line="240" w:lineRule="auto"/>
            </w:pPr>
            <w:r>
              <w:rPr>
                <w:rFonts w:ascii="Calibri" w:hAnsi="Calibri"/>
                <w:sz w:val="18"/>
              </w:rPr>
              <w:t>0.700</w:t>
            </w:r>
          </w:p>
        </w:tc>
        <w:tc>
          <w:tcPr>
            <w:tcW w:type="dxa" w:w="1700"/>
            <w:vAlign w:val="center"/>
          </w:tcPr>
          <w:p>
            <w:pPr>
              <w:spacing w:after="0" w:line="240" w:lineRule="auto"/>
            </w:pPr>
            <w:r>
              <w:rPr>
                <w:rFonts w:ascii="Calibri" w:hAnsi="Calibri"/>
                <w:sz w:val="18"/>
              </w:rPr>
              <w:t>-0.465</w:t>
            </w:r>
          </w:p>
        </w:tc>
        <w:tc>
          <w:tcPr>
            <w:tcW w:type="dxa" w:w="1300"/>
            <w:vAlign w:val="center"/>
          </w:tcPr>
          <w:p>
            <w:pPr>
              <w:spacing w:after="0" w:line="240" w:lineRule="auto"/>
            </w:pPr>
            <w:r>
              <w:rPr>
                <w:rFonts w:ascii="Calibri" w:hAnsi="Calibri"/>
                <w:sz w:val="18"/>
              </w:rPr>
              <w:t>0.785s</w:t>
            </w:r>
          </w:p>
        </w:tc>
        <w:tc>
          <w:tcPr>
            <w:tcW w:type="dxa" w:w="1110"/>
            <w:vAlign w:val="center"/>
          </w:tcPr>
          <w:p>
            <w:pPr>
              <w:spacing w:after="0" w:line="240" w:lineRule="auto"/>
            </w:pPr>
            <w:r>
              <w:rPr>
                <w:rFonts w:ascii="Calibri" w:hAnsi="Calibri"/>
                <w:sz w:val="18"/>
              </w:rPr>
              <w:t>7.02</w:t>
            </w:r>
          </w:p>
        </w:tc>
      </w:tr>
      <w:tr>
        <w:tc>
          <w:tcPr>
            <w:tcW w:type="dxa" w:w="850"/>
            <w:vAlign w:val="center"/>
          </w:tcPr>
          <w:p>
            <w:pPr>
              <w:spacing w:after="0" w:line="240" w:lineRule="auto"/>
            </w:pPr>
            <w:r>
              <w:rPr>
                <w:rFonts w:ascii="Calibri" w:hAnsi="Calibri"/>
                <w:sz w:val="18"/>
              </w:rPr>
              <w:t>S10</w:t>
            </w:r>
          </w:p>
        </w:tc>
        <w:tc>
          <w:tcPr>
            <w:tcW w:type="dxa" w:w="1200"/>
            <w:vAlign w:val="center"/>
          </w:tcPr>
          <w:p>
            <w:pPr>
              <w:spacing w:after="0" w:line="240" w:lineRule="auto"/>
            </w:pPr>
            <w:r>
              <w:rPr>
                <w:rFonts w:ascii="Calibri" w:hAnsi="Calibri"/>
                <w:sz w:val="18"/>
              </w:rPr>
              <w:t>6.89%</w:t>
            </w:r>
          </w:p>
        </w:tc>
        <w:tc>
          <w:tcPr>
            <w:tcW w:type="dxa" w:w="1100"/>
            <w:vAlign w:val="center"/>
          </w:tcPr>
          <w:p>
            <w:pPr>
              <w:spacing w:after="0" w:line="240" w:lineRule="auto"/>
            </w:pPr>
            <w:r>
              <w:rPr>
                <w:rFonts w:ascii="Calibri" w:hAnsi="Calibri"/>
                <w:sz w:val="18"/>
              </w:rPr>
              <w:t>0.949</w:t>
            </w:r>
          </w:p>
        </w:tc>
        <w:tc>
          <w:tcPr>
            <w:tcW w:type="dxa" w:w="1100"/>
            <w:vAlign w:val="center"/>
          </w:tcPr>
          <w:p>
            <w:pPr>
              <w:spacing w:after="0" w:line="240" w:lineRule="auto"/>
            </w:pPr>
            <w:r>
              <w:rPr>
                <w:rFonts w:ascii="Calibri" w:hAnsi="Calibri"/>
                <w:sz w:val="18"/>
              </w:rPr>
              <w:t>0.767</w:t>
            </w:r>
          </w:p>
        </w:tc>
        <w:tc>
          <w:tcPr>
            <w:tcW w:type="dxa" w:w="1700"/>
            <w:vAlign w:val="center"/>
          </w:tcPr>
          <w:p>
            <w:pPr>
              <w:spacing w:after="0" w:line="240" w:lineRule="auto"/>
            </w:pPr>
            <w:r>
              <w:rPr>
                <w:rFonts w:ascii="Calibri" w:hAnsi="Calibri"/>
                <w:sz w:val="18"/>
              </w:rPr>
              <w:t>+0.066</w:t>
            </w:r>
          </w:p>
        </w:tc>
        <w:tc>
          <w:tcPr>
            <w:tcW w:type="dxa" w:w="1300"/>
            <w:vAlign w:val="center"/>
          </w:tcPr>
          <w:p>
            <w:pPr>
              <w:spacing w:after="0" w:line="240" w:lineRule="auto"/>
            </w:pPr>
            <w:r>
              <w:rPr>
                <w:rFonts w:ascii="Calibri" w:hAnsi="Calibri"/>
                <w:sz w:val="18"/>
              </w:rPr>
              <w:t>1.073s</w:t>
            </w:r>
          </w:p>
        </w:tc>
        <w:tc>
          <w:tcPr>
            <w:tcW w:type="dxa" w:w="1110"/>
            <w:vAlign w:val="center"/>
          </w:tcPr>
          <w:p>
            <w:pPr>
              <w:spacing w:after="0" w:line="240" w:lineRule="auto"/>
            </w:pPr>
            <w:r>
              <w:rPr>
                <w:rFonts w:ascii="Calibri" w:hAnsi="Calibri"/>
                <w:sz w:val="18"/>
              </w:rPr>
              <w:t>7.11</w:t>
            </w:r>
          </w:p>
        </w:tc>
      </w:tr>
    </w:tbl>
    <w:p/>
    <w:p>
      <w:r>
        <w:t>The checkpoint is highly accurate for this short indoor window, but adding views does not monotonically help. Depth AbsRel more than doubles from S2 to S10, while camera rotation remains below one degree. Confidence is useful when its Spearman correlation with error is negative; at S10 the sign becomes slightly positive, exposing a calibration weakness.</w:t>
      </w:r>
    </w:p>
    <w:p>
      <w:pPr>
        <w:keepNext/>
        <w:jc w:val="center"/>
      </w:pPr>
      <w:r>
        <w:drawing>
          <wp:inline xmlns:a="http://schemas.openxmlformats.org/drawingml/2006/main" xmlns:pic="http://schemas.openxmlformats.org/drawingml/2006/picture">
            <wp:extent cx="5715000" cy="2857500"/>
            <wp:docPr id="3" name="Picture 3"/>
            <wp:cNvGraphicFramePr>
              <a:graphicFrameLocks noChangeAspect="1"/>
            </wp:cNvGraphicFramePr>
            <a:graphic>
              <a:graphicData uri="http://schemas.openxmlformats.org/drawingml/2006/picture">
                <pic:pic>
                  <pic:nvPicPr>
                    <pic:cNvPr id="0" name="depth_absrel.png"/>
                    <pic:cNvPicPr/>
                  </pic:nvPicPr>
                  <pic:blipFill>
                    <a:blip r:embed="rId13"/>
                    <a:stretch>
                      <a:fillRect/>
                    </a:stretch>
                  </pic:blipFill>
                  <pic:spPr>
                    <a:xfrm>
                      <a:off x="0" y="0"/>
                      <a:ext cx="5715000" cy="2857500"/>
                    </a:xfrm>
                    <a:prstGeom prst="rect"/>
                  </pic:spPr>
                </pic:pic>
              </a:graphicData>
            </a:graphic>
          </wp:inline>
        </w:drawing>
      </w:r>
    </w:p>
    <w:p>
      <w:pPr>
        <w:spacing w:after="160"/>
        <w:jc w:val="center"/>
      </w:pPr>
      <w:r>
        <w:rPr>
          <w:rFonts w:ascii="Calibri" w:hAnsi="Calibri"/>
          <w:i/>
          <w:color w:val="5C6773"/>
          <w:sz w:val="18"/>
        </w:rPr>
        <w:t>Figure 3. Held-out scale-aligned depth error before and after adaptation.</w:t>
      </w:r>
    </w:p>
    <w:p>
      <w:pPr>
        <w:keepNext/>
        <w:jc w:val="center"/>
      </w:pPr>
      <w:r>
        <w:drawing>
          <wp:inline xmlns:a="http://schemas.openxmlformats.org/drawingml/2006/main" xmlns:pic="http://schemas.openxmlformats.org/drawingml/2006/picture">
            <wp:extent cx="5715000" cy="2857500"/>
            <wp:docPr id="4" name="Picture 4"/>
            <wp:cNvGraphicFramePr>
              <a:graphicFrameLocks noChangeAspect="1"/>
            </wp:cNvGraphicFramePr>
            <a:graphic>
              <a:graphicData uri="http://schemas.openxmlformats.org/drawingml/2006/picture">
                <pic:pic>
                  <pic:nvPicPr>
                    <pic:cNvPr id="0" name="confidence_calibration.png"/>
                    <pic:cNvPicPr/>
                  </pic:nvPicPr>
                  <pic:blipFill>
                    <a:blip r:embed="rId14"/>
                    <a:stretch>
                      <a:fillRect/>
                    </a:stretch>
                  </pic:blipFill>
                  <pic:spPr>
                    <a:xfrm>
                      <a:off x="0" y="0"/>
                      <a:ext cx="5715000" cy="2857500"/>
                    </a:xfrm>
                    <a:prstGeom prst="rect"/>
                  </pic:spPr>
                </pic:pic>
              </a:graphicData>
            </a:graphic>
          </wp:inline>
        </w:drawing>
      </w:r>
    </w:p>
    <w:p>
      <w:pPr>
        <w:spacing w:after="160"/>
        <w:jc w:val="center"/>
      </w:pPr>
      <w:r>
        <w:rPr>
          <w:rFonts w:ascii="Calibri" w:hAnsi="Calibri"/>
          <w:i/>
          <w:color w:val="5C6773"/>
          <w:sz w:val="18"/>
        </w:rPr>
        <w:t>Figure 4. Confidence calibration weakens as more views are added.</w:t>
      </w:r>
    </w:p>
    <w:p>
      <w:pPr>
        <w:pStyle w:val="Heading1"/>
        <w:keepNext/>
      </w:pPr>
      <w:r>
        <w:t>4. Fine-tuning feasibility and execution</w:t>
      </w:r>
    </w:p>
    <w:p>
      <w:r>
        <w:t>The maintained repository's training code is a post-publication reimplementation. Our bounded experiment freezes the 1.2B aggregator and updates only camera and depth heads using adjacent two-view samples. It uses BF16, AdamW, gradient clipping, 30 optimizer steps, and P006-only checkpoint selection. This is domain adaptation, not reproduction of the paper's 64-A100 training.</w:t>
      </w:r>
    </w:p>
    <w:tbl>
      <w:tblPr>
        <w:tblStyle w:val="TableGrid"/>
        <w:tblW w:type="dxa" w:w="9360"/>
        <w:jc w:val="center"/>
        <w:tblLayout w:type="fixed"/>
        <w:tblLook w:firstColumn="1" w:firstRow="1" w:lastColumn="0" w:lastRow="0" w:noHBand="0" w:noVBand="1" w:val="04A0"/>
        <w:tblInd w:w="120" w:type="dxa"/>
      </w:tblPr>
      <w:tblGrid>
        <w:gridCol w:w="3000"/>
        <w:gridCol w:w="6360"/>
      </w:tblGrid>
      <w:tr>
        <w:tc>
          <w:tcPr>
            <w:tcW w:type="dxa" w:w="3000"/>
            <w:shd w:fill="F2F4F7"/>
            <w:vAlign w:val="center"/>
          </w:tcPr>
          <w:p>
            <w:pPr>
              <w:spacing w:after="0" w:line="240" w:lineRule="auto"/>
            </w:pPr>
            <w:r>
              <w:rPr>
                <w:rFonts w:ascii="Calibri" w:hAnsi="Calibri"/>
                <w:b/>
                <w:color w:val="0B2545"/>
                <w:sz w:val="18"/>
              </w:rPr>
              <w:t>Feasibility item</w:t>
            </w:r>
          </w:p>
        </w:tc>
        <w:tc>
          <w:tcPr>
            <w:tcW w:type="dxa" w:w="6360"/>
            <w:shd w:fill="F2F4F7"/>
            <w:vAlign w:val="center"/>
          </w:tcPr>
          <w:p>
            <w:pPr>
              <w:spacing w:after="0" w:line="240" w:lineRule="auto"/>
            </w:pPr>
            <w:r>
              <w:rPr>
                <w:rFonts w:ascii="Calibri" w:hAnsi="Calibri"/>
                <w:b/>
                <w:color w:val="0B2545"/>
                <w:sz w:val="18"/>
              </w:rPr>
              <w:t>Measured result</w:t>
            </w:r>
          </w:p>
        </w:tc>
      </w:tr>
      <w:tr>
        <w:tc>
          <w:tcPr>
            <w:tcW w:type="dxa" w:w="3000"/>
            <w:vAlign w:val="center"/>
          </w:tcPr>
          <w:p>
            <w:pPr>
              <w:spacing w:after="0" w:line="240" w:lineRule="auto"/>
            </w:pPr>
            <w:r>
              <w:rPr>
                <w:rFonts w:ascii="Calibri" w:hAnsi="Calibri"/>
                <w:sz w:val="18"/>
              </w:rPr>
              <w:t>GPU</w:t>
            </w:r>
          </w:p>
        </w:tc>
        <w:tc>
          <w:tcPr>
            <w:tcW w:type="dxa" w:w="6360"/>
            <w:vAlign w:val="center"/>
          </w:tcPr>
          <w:p>
            <w:pPr>
              <w:spacing w:after="0" w:line="240" w:lineRule="auto"/>
            </w:pPr>
            <w:r>
              <w:rPr>
                <w:rFonts w:ascii="Calibri" w:hAnsi="Calibri"/>
                <w:sz w:val="18"/>
              </w:rPr>
              <w:t>NVIDIA GeForce RTX 5080, 15.92 GiB</w:t>
            </w:r>
          </w:p>
        </w:tc>
      </w:tr>
      <w:tr>
        <w:tc>
          <w:tcPr>
            <w:tcW w:type="dxa" w:w="3000"/>
            <w:vAlign w:val="center"/>
          </w:tcPr>
          <w:p>
            <w:pPr>
              <w:spacing w:after="0" w:line="240" w:lineRule="auto"/>
            </w:pPr>
            <w:r>
              <w:rPr>
                <w:rFonts w:ascii="Calibri" w:hAnsi="Calibri"/>
                <w:sz w:val="18"/>
              </w:rPr>
              <w:t>Forward/backward probe</w:t>
            </w:r>
          </w:p>
        </w:tc>
        <w:tc>
          <w:tcPr>
            <w:tcW w:type="dxa" w:w="6360"/>
            <w:vAlign w:val="center"/>
          </w:tcPr>
          <w:p>
            <w:pPr>
              <w:spacing w:after="0" w:line="240" w:lineRule="auto"/>
            </w:pPr>
            <w:r>
              <w:rPr>
                <w:rFonts w:ascii="Calibri" w:hAnsi="Calibri"/>
                <w:sz w:val="18"/>
              </w:rPr>
              <w:t>5.95 GiB allocated; 6.52 GiB reserved</w:t>
            </w:r>
          </w:p>
        </w:tc>
      </w:tr>
      <w:tr>
        <w:tc>
          <w:tcPr>
            <w:tcW w:type="dxa" w:w="3000"/>
            <w:vAlign w:val="center"/>
          </w:tcPr>
          <w:p>
            <w:pPr>
              <w:spacing w:after="0" w:line="240" w:lineRule="auto"/>
            </w:pPr>
            <w:r>
              <w:rPr>
                <w:rFonts w:ascii="Calibri" w:hAnsi="Calibri"/>
                <w:sz w:val="18"/>
              </w:rPr>
              <w:t>Optimizer steps</w:t>
            </w:r>
          </w:p>
        </w:tc>
        <w:tc>
          <w:tcPr>
            <w:tcW w:type="dxa" w:w="6360"/>
            <w:vAlign w:val="center"/>
          </w:tcPr>
          <w:p>
            <w:pPr>
              <w:spacing w:after="0" w:line="240" w:lineRule="auto"/>
            </w:pPr>
            <w:r>
              <w:rPr>
                <w:rFonts w:ascii="Calibri" w:hAnsi="Calibri"/>
                <w:sz w:val="18"/>
              </w:rPr>
              <w:t>30; camera and depth heads only</w:t>
            </w:r>
          </w:p>
        </w:tc>
      </w:tr>
      <w:tr>
        <w:tc>
          <w:tcPr>
            <w:tcW w:type="dxa" w:w="3000"/>
            <w:vAlign w:val="center"/>
          </w:tcPr>
          <w:p>
            <w:pPr>
              <w:spacing w:after="0" w:line="240" w:lineRule="auto"/>
            </w:pPr>
            <w:r>
              <w:rPr>
                <w:rFonts w:ascii="Calibri" w:hAnsi="Calibri"/>
                <w:sz w:val="18"/>
              </w:rPr>
              <w:t>Elapsed adaptation time</w:t>
            </w:r>
          </w:p>
        </w:tc>
        <w:tc>
          <w:tcPr>
            <w:tcW w:type="dxa" w:w="6360"/>
            <w:vAlign w:val="center"/>
          </w:tcPr>
          <w:p>
            <w:pPr>
              <w:spacing w:after="0" w:line="240" w:lineRule="auto"/>
            </w:pPr>
            <w:r>
              <w:rPr>
                <w:rFonts w:ascii="Calibri" w:hAnsi="Calibri"/>
                <w:sz w:val="18"/>
              </w:rPr>
              <w:t>25.8 seconds</w:t>
            </w:r>
          </w:p>
        </w:tc>
      </w:tr>
      <w:tr>
        <w:tc>
          <w:tcPr>
            <w:tcW w:type="dxa" w:w="3000"/>
            <w:vAlign w:val="center"/>
          </w:tcPr>
          <w:p>
            <w:pPr>
              <w:spacing w:after="0" w:line="240" w:lineRule="auto"/>
            </w:pPr>
            <w:r>
              <w:rPr>
                <w:rFonts w:ascii="Calibri" w:hAnsi="Calibri"/>
                <w:sz w:val="18"/>
              </w:rPr>
              <w:t>Checkpoint selection</w:t>
            </w:r>
          </w:p>
        </w:tc>
        <w:tc>
          <w:tcPr>
            <w:tcW w:type="dxa" w:w="6360"/>
            <w:vAlign w:val="center"/>
          </w:tcPr>
          <w:p>
            <w:pPr>
              <w:spacing w:after="0" w:line="240" w:lineRule="auto"/>
            </w:pPr>
            <w:r>
              <w:rPr>
                <w:rFonts w:ascii="Calibri" w:hAnsi="Calibri"/>
                <w:sz w:val="18"/>
              </w:rPr>
              <w:t>P006 validation minimum at step 15</w:t>
            </w:r>
          </w:p>
        </w:tc>
      </w:tr>
      <w:tr>
        <w:tc>
          <w:tcPr>
            <w:tcW w:type="dxa" w:w="3000"/>
            <w:vAlign w:val="center"/>
          </w:tcPr>
          <w:p>
            <w:pPr>
              <w:spacing w:after="0" w:line="240" w:lineRule="auto"/>
            </w:pPr>
            <w:r>
              <w:rPr>
                <w:rFonts w:ascii="Calibri" w:hAnsi="Calibri"/>
                <w:sz w:val="18"/>
              </w:rPr>
              <w:t>Test isolation</w:t>
            </w:r>
          </w:p>
        </w:tc>
        <w:tc>
          <w:tcPr>
            <w:tcW w:type="dxa" w:w="6360"/>
            <w:vAlign w:val="center"/>
          </w:tcPr>
          <w:p>
            <w:pPr>
              <w:spacing w:after="0" w:line="240" w:lineRule="auto"/>
            </w:pPr>
            <w:r>
              <w:rPr>
                <w:rFonts w:ascii="Calibri" w:hAnsi="Calibri"/>
                <w:sz w:val="18"/>
              </w:rPr>
              <w:t>P000 never used for training or selection</w:t>
            </w:r>
          </w:p>
        </w:tc>
      </w:tr>
    </w:tbl>
    <w:p/>
    <w:p>
      <w:pPr>
        <w:keepNext/>
        <w:jc w:val="center"/>
      </w:pPr>
      <w:r>
        <w:drawing>
          <wp:inline xmlns:a="http://schemas.openxmlformats.org/drawingml/2006/main" xmlns:pic="http://schemas.openxmlformats.org/drawingml/2006/picture">
            <wp:extent cx="5715000" cy="2857500"/>
            <wp:docPr id="5" name="Picture 5"/>
            <wp:cNvGraphicFramePr>
              <a:graphicFrameLocks noChangeAspect="1"/>
            </wp:cNvGraphicFramePr>
            <a:graphic>
              <a:graphicData uri="http://schemas.openxmlformats.org/drawingml/2006/picture">
                <pic:pic>
                  <pic:nvPicPr>
                    <pic:cNvPr id="0" name="finetune_curve.png"/>
                    <pic:cNvPicPr/>
                  </pic:nvPicPr>
                  <pic:blipFill>
                    <a:blip r:embed="rId15"/>
                    <a:stretch>
                      <a:fillRect/>
                    </a:stretch>
                  </pic:blipFill>
                  <pic:spPr>
                    <a:xfrm>
                      <a:off x="0" y="0"/>
                      <a:ext cx="5715000" cy="2857500"/>
                    </a:xfrm>
                    <a:prstGeom prst="rect"/>
                  </pic:spPr>
                </pic:pic>
              </a:graphicData>
            </a:graphic>
          </wp:inline>
        </w:drawing>
      </w:r>
    </w:p>
    <w:p>
      <w:pPr>
        <w:spacing w:after="160"/>
        <w:jc w:val="center"/>
      </w:pPr>
      <w:r>
        <w:rPr>
          <w:rFonts w:ascii="Calibri" w:hAnsi="Calibri"/>
          <w:i/>
          <w:color w:val="5C6773"/>
          <w:sz w:val="18"/>
        </w:rPr>
        <w:t>Figure 5. Validation improves until step 15, then begins to regress.</w:t>
      </w:r>
    </w:p>
    <w:p>
      <w:pPr>
        <w:pStyle w:val="Heading1"/>
        <w:keepNext/>
      </w:pPr>
      <w:r>
        <w:t>5. Pretrained versus adapted</w:t>
      </w:r>
    </w:p>
    <w:tbl>
      <w:tblPr>
        <w:tblStyle w:val="TableGrid"/>
        <w:tblW w:type="dxa" w:w="9360"/>
        <w:jc w:val="center"/>
        <w:tblLayout w:type="fixed"/>
        <w:tblLook w:firstColumn="1" w:firstRow="1" w:lastColumn="0" w:lastRow="0" w:noHBand="0" w:noVBand="1" w:val="04A0"/>
        <w:tblInd w:w="120" w:type="dxa"/>
      </w:tblPr>
      <w:tblGrid>
        <w:gridCol w:w="800"/>
        <w:gridCol w:w="1400"/>
        <w:gridCol w:w="1450"/>
        <w:gridCol w:w="1400"/>
        <w:gridCol w:w="1450"/>
        <w:gridCol w:w="1430"/>
        <w:gridCol w:w="1430"/>
      </w:tblGrid>
      <w:tr>
        <w:tc>
          <w:tcPr>
            <w:tcW w:type="dxa" w:w="800"/>
            <w:shd w:fill="F2F4F7"/>
            <w:vAlign w:val="center"/>
          </w:tcPr>
          <w:p>
            <w:pPr>
              <w:spacing w:after="0" w:line="240" w:lineRule="auto"/>
            </w:pPr>
            <w:r>
              <w:rPr>
                <w:rFonts w:ascii="Calibri" w:hAnsi="Calibri"/>
                <w:b/>
                <w:color w:val="0B2545"/>
                <w:sz w:val="18"/>
              </w:rPr>
              <w:t>Views</w:t>
            </w:r>
          </w:p>
        </w:tc>
        <w:tc>
          <w:tcPr>
            <w:tcW w:type="dxa" w:w="1400"/>
            <w:shd w:fill="F2F4F7"/>
            <w:vAlign w:val="center"/>
          </w:tcPr>
          <w:p>
            <w:pPr>
              <w:spacing w:after="0" w:line="240" w:lineRule="auto"/>
            </w:pPr>
            <w:r>
              <w:rPr>
                <w:rFonts w:ascii="Calibri" w:hAnsi="Calibri"/>
                <w:b/>
                <w:color w:val="0B2545"/>
                <w:sz w:val="18"/>
              </w:rPr>
              <w:t>Base AbsRel</w:t>
            </w:r>
          </w:p>
        </w:tc>
        <w:tc>
          <w:tcPr>
            <w:tcW w:type="dxa" w:w="1450"/>
            <w:shd w:fill="F2F4F7"/>
            <w:vAlign w:val="center"/>
          </w:tcPr>
          <w:p>
            <w:pPr>
              <w:spacing w:after="0" w:line="240" w:lineRule="auto"/>
            </w:pPr>
            <w:r>
              <w:rPr>
                <w:rFonts w:ascii="Calibri" w:hAnsi="Calibri"/>
                <w:b/>
                <w:color w:val="0B2545"/>
                <w:sz w:val="18"/>
              </w:rPr>
              <w:t>Adapt AbsRel</w:t>
            </w:r>
          </w:p>
        </w:tc>
        <w:tc>
          <w:tcPr>
            <w:tcW w:type="dxa" w:w="1400"/>
            <w:shd w:fill="F2F4F7"/>
            <w:vAlign w:val="center"/>
          </w:tcPr>
          <w:p>
            <w:pPr>
              <w:spacing w:after="0" w:line="240" w:lineRule="auto"/>
            </w:pPr>
            <w:r>
              <w:rPr>
                <w:rFonts w:ascii="Calibri" w:hAnsi="Calibri"/>
                <w:b/>
                <w:color w:val="0B2545"/>
                <w:sz w:val="18"/>
              </w:rPr>
              <w:t>Base RMSE</w:t>
            </w:r>
          </w:p>
        </w:tc>
        <w:tc>
          <w:tcPr>
            <w:tcW w:type="dxa" w:w="1450"/>
            <w:shd w:fill="F2F4F7"/>
            <w:vAlign w:val="center"/>
          </w:tcPr>
          <w:p>
            <w:pPr>
              <w:spacing w:after="0" w:line="240" w:lineRule="auto"/>
            </w:pPr>
            <w:r>
              <w:rPr>
                <w:rFonts w:ascii="Calibri" w:hAnsi="Calibri"/>
                <w:b/>
                <w:color w:val="0B2545"/>
                <w:sz w:val="18"/>
              </w:rPr>
              <w:t>Adapt RMSE</w:t>
            </w:r>
          </w:p>
        </w:tc>
        <w:tc>
          <w:tcPr>
            <w:tcW w:type="dxa" w:w="1430"/>
            <w:shd w:fill="F2F4F7"/>
            <w:vAlign w:val="center"/>
          </w:tcPr>
          <w:p>
            <w:pPr>
              <w:spacing w:after="0" w:line="240" w:lineRule="auto"/>
            </w:pPr>
            <w:r>
              <w:rPr>
                <w:rFonts w:ascii="Calibri" w:hAnsi="Calibri"/>
                <w:b/>
                <w:color w:val="0B2545"/>
                <w:sz w:val="18"/>
              </w:rPr>
              <w:t>Base rot.</w:t>
            </w:r>
          </w:p>
        </w:tc>
        <w:tc>
          <w:tcPr>
            <w:tcW w:type="dxa" w:w="1430"/>
            <w:shd w:fill="F2F4F7"/>
            <w:vAlign w:val="center"/>
          </w:tcPr>
          <w:p>
            <w:pPr>
              <w:spacing w:after="0" w:line="240" w:lineRule="auto"/>
            </w:pPr>
            <w:r>
              <w:rPr>
                <w:rFonts w:ascii="Calibri" w:hAnsi="Calibri"/>
                <w:b/>
                <w:color w:val="0B2545"/>
                <w:sz w:val="18"/>
              </w:rPr>
              <w:t>Adapt rot.</w:t>
            </w:r>
          </w:p>
        </w:tc>
      </w:tr>
      <w:tr>
        <w:tc>
          <w:tcPr>
            <w:tcW w:type="dxa" w:w="800"/>
            <w:vAlign w:val="center"/>
          </w:tcPr>
          <w:p>
            <w:pPr>
              <w:spacing w:after="0" w:line="240" w:lineRule="auto"/>
            </w:pPr>
            <w:r>
              <w:rPr>
                <w:rFonts w:ascii="Calibri" w:hAnsi="Calibri"/>
                <w:sz w:val="18"/>
              </w:rPr>
              <w:t>S2</w:t>
            </w:r>
          </w:p>
        </w:tc>
        <w:tc>
          <w:tcPr>
            <w:tcW w:type="dxa" w:w="1400"/>
            <w:vAlign w:val="center"/>
          </w:tcPr>
          <w:p>
            <w:pPr>
              <w:spacing w:after="0" w:line="240" w:lineRule="auto"/>
            </w:pPr>
            <w:r>
              <w:rPr>
                <w:rFonts w:ascii="Calibri" w:hAnsi="Calibri"/>
                <w:sz w:val="18"/>
              </w:rPr>
              <w:t>3.14%</w:t>
            </w:r>
          </w:p>
        </w:tc>
        <w:tc>
          <w:tcPr>
            <w:tcW w:type="dxa" w:w="1450"/>
            <w:vAlign w:val="center"/>
          </w:tcPr>
          <w:p>
            <w:pPr>
              <w:spacing w:after="0" w:line="240" w:lineRule="auto"/>
            </w:pPr>
            <w:r>
              <w:rPr>
                <w:rFonts w:ascii="Calibri" w:hAnsi="Calibri"/>
                <w:sz w:val="18"/>
              </w:rPr>
              <w:t>4.01%</w:t>
            </w:r>
          </w:p>
        </w:tc>
        <w:tc>
          <w:tcPr>
            <w:tcW w:type="dxa" w:w="1400"/>
            <w:vAlign w:val="center"/>
          </w:tcPr>
          <w:p>
            <w:pPr>
              <w:spacing w:after="0" w:line="240" w:lineRule="auto"/>
            </w:pPr>
            <w:r>
              <w:rPr>
                <w:rFonts w:ascii="Calibri" w:hAnsi="Calibri"/>
                <w:sz w:val="18"/>
              </w:rPr>
              <w:t>2.183</w:t>
            </w:r>
          </w:p>
        </w:tc>
        <w:tc>
          <w:tcPr>
            <w:tcW w:type="dxa" w:w="1450"/>
            <w:vAlign w:val="center"/>
          </w:tcPr>
          <w:p>
            <w:pPr>
              <w:spacing w:after="0" w:line="240" w:lineRule="auto"/>
            </w:pPr>
            <w:r>
              <w:rPr>
                <w:rFonts w:ascii="Calibri" w:hAnsi="Calibri"/>
                <w:sz w:val="18"/>
              </w:rPr>
              <w:t>2.107</w:t>
            </w:r>
          </w:p>
        </w:tc>
        <w:tc>
          <w:tcPr>
            <w:tcW w:type="dxa" w:w="1430"/>
            <w:vAlign w:val="center"/>
          </w:tcPr>
          <w:p>
            <w:pPr>
              <w:spacing w:after="0" w:line="240" w:lineRule="auto"/>
            </w:pPr>
            <w:r>
              <w:rPr>
                <w:rFonts w:ascii="Calibri" w:hAnsi="Calibri"/>
                <w:sz w:val="18"/>
              </w:rPr>
              <w:t>0.089</w:t>
            </w:r>
          </w:p>
        </w:tc>
        <w:tc>
          <w:tcPr>
            <w:tcW w:type="dxa" w:w="1430"/>
            <w:vAlign w:val="center"/>
          </w:tcPr>
          <w:p>
            <w:pPr>
              <w:spacing w:after="0" w:line="240" w:lineRule="auto"/>
            </w:pPr>
            <w:r>
              <w:rPr>
                <w:rFonts w:ascii="Calibri" w:hAnsi="Calibri"/>
                <w:sz w:val="18"/>
              </w:rPr>
              <w:t>0.122</w:t>
            </w:r>
          </w:p>
        </w:tc>
      </w:tr>
      <w:tr>
        <w:tc>
          <w:tcPr>
            <w:tcW w:type="dxa" w:w="800"/>
            <w:vAlign w:val="center"/>
          </w:tcPr>
          <w:p>
            <w:pPr>
              <w:spacing w:after="0" w:line="240" w:lineRule="auto"/>
            </w:pPr>
            <w:r>
              <w:rPr>
                <w:rFonts w:ascii="Calibri" w:hAnsi="Calibri"/>
                <w:sz w:val="18"/>
              </w:rPr>
              <w:t>S4</w:t>
            </w:r>
          </w:p>
        </w:tc>
        <w:tc>
          <w:tcPr>
            <w:tcW w:type="dxa" w:w="1400"/>
            <w:vAlign w:val="center"/>
          </w:tcPr>
          <w:p>
            <w:pPr>
              <w:spacing w:after="0" w:line="240" w:lineRule="auto"/>
            </w:pPr>
            <w:r>
              <w:rPr>
                <w:rFonts w:ascii="Calibri" w:hAnsi="Calibri"/>
                <w:sz w:val="18"/>
              </w:rPr>
              <w:t>3.55%</w:t>
            </w:r>
          </w:p>
        </w:tc>
        <w:tc>
          <w:tcPr>
            <w:tcW w:type="dxa" w:w="1450"/>
            <w:vAlign w:val="center"/>
          </w:tcPr>
          <w:p>
            <w:pPr>
              <w:spacing w:after="0" w:line="240" w:lineRule="auto"/>
            </w:pPr>
            <w:r>
              <w:rPr>
                <w:rFonts w:ascii="Calibri" w:hAnsi="Calibri"/>
                <w:sz w:val="18"/>
              </w:rPr>
              <w:t>4.33%</w:t>
            </w:r>
          </w:p>
        </w:tc>
        <w:tc>
          <w:tcPr>
            <w:tcW w:type="dxa" w:w="1400"/>
            <w:vAlign w:val="center"/>
          </w:tcPr>
          <w:p>
            <w:pPr>
              <w:spacing w:after="0" w:line="240" w:lineRule="auto"/>
            </w:pPr>
            <w:r>
              <w:rPr>
                <w:rFonts w:ascii="Calibri" w:hAnsi="Calibri"/>
                <w:sz w:val="18"/>
              </w:rPr>
              <w:t>2.635</w:t>
            </w:r>
          </w:p>
        </w:tc>
        <w:tc>
          <w:tcPr>
            <w:tcW w:type="dxa" w:w="1450"/>
            <w:vAlign w:val="center"/>
          </w:tcPr>
          <w:p>
            <w:pPr>
              <w:spacing w:after="0" w:line="240" w:lineRule="auto"/>
            </w:pPr>
            <w:r>
              <w:rPr>
                <w:rFonts w:ascii="Calibri" w:hAnsi="Calibri"/>
                <w:sz w:val="18"/>
              </w:rPr>
              <w:t>2.565</w:t>
            </w:r>
          </w:p>
        </w:tc>
        <w:tc>
          <w:tcPr>
            <w:tcW w:type="dxa" w:w="1430"/>
            <w:vAlign w:val="center"/>
          </w:tcPr>
          <w:p>
            <w:pPr>
              <w:spacing w:after="0" w:line="240" w:lineRule="auto"/>
            </w:pPr>
            <w:r>
              <w:rPr>
                <w:rFonts w:ascii="Calibri" w:hAnsi="Calibri"/>
                <w:sz w:val="18"/>
              </w:rPr>
              <w:t>0.361</w:t>
            </w:r>
          </w:p>
        </w:tc>
        <w:tc>
          <w:tcPr>
            <w:tcW w:type="dxa" w:w="1430"/>
            <w:vAlign w:val="center"/>
          </w:tcPr>
          <w:p>
            <w:pPr>
              <w:spacing w:after="0" w:line="240" w:lineRule="auto"/>
            </w:pPr>
            <w:r>
              <w:rPr>
                <w:rFonts w:ascii="Calibri" w:hAnsi="Calibri"/>
                <w:sz w:val="18"/>
              </w:rPr>
              <w:t>0.374</w:t>
            </w:r>
          </w:p>
        </w:tc>
      </w:tr>
      <w:tr>
        <w:tc>
          <w:tcPr>
            <w:tcW w:type="dxa" w:w="800"/>
            <w:vAlign w:val="center"/>
          </w:tcPr>
          <w:p>
            <w:pPr>
              <w:spacing w:after="0" w:line="240" w:lineRule="auto"/>
            </w:pPr>
            <w:r>
              <w:rPr>
                <w:rFonts w:ascii="Calibri" w:hAnsi="Calibri"/>
                <w:sz w:val="18"/>
              </w:rPr>
              <w:t>S6</w:t>
            </w:r>
          </w:p>
        </w:tc>
        <w:tc>
          <w:tcPr>
            <w:tcW w:type="dxa" w:w="1400"/>
            <w:vAlign w:val="center"/>
          </w:tcPr>
          <w:p>
            <w:pPr>
              <w:spacing w:after="0" w:line="240" w:lineRule="auto"/>
            </w:pPr>
            <w:r>
              <w:rPr>
                <w:rFonts w:ascii="Calibri" w:hAnsi="Calibri"/>
                <w:sz w:val="18"/>
              </w:rPr>
              <w:t>3.73%</w:t>
            </w:r>
          </w:p>
        </w:tc>
        <w:tc>
          <w:tcPr>
            <w:tcW w:type="dxa" w:w="1450"/>
            <w:vAlign w:val="center"/>
          </w:tcPr>
          <w:p>
            <w:pPr>
              <w:spacing w:after="0" w:line="240" w:lineRule="auto"/>
            </w:pPr>
            <w:r>
              <w:rPr>
                <w:rFonts w:ascii="Calibri" w:hAnsi="Calibri"/>
                <w:sz w:val="18"/>
              </w:rPr>
              <w:t>6.40%</w:t>
            </w:r>
          </w:p>
        </w:tc>
        <w:tc>
          <w:tcPr>
            <w:tcW w:type="dxa" w:w="1400"/>
            <w:vAlign w:val="center"/>
          </w:tcPr>
          <w:p>
            <w:pPr>
              <w:spacing w:after="0" w:line="240" w:lineRule="auto"/>
            </w:pPr>
            <w:r>
              <w:rPr>
                <w:rFonts w:ascii="Calibri" w:hAnsi="Calibri"/>
                <w:sz w:val="18"/>
              </w:rPr>
              <w:t>3.790</w:t>
            </w:r>
          </w:p>
        </w:tc>
        <w:tc>
          <w:tcPr>
            <w:tcW w:type="dxa" w:w="1450"/>
            <w:vAlign w:val="center"/>
          </w:tcPr>
          <w:p>
            <w:pPr>
              <w:spacing w:after="0" w:line="240" w:lineRule="auto"/>
            </w:pPr>
            <w:r>
              <w:rPr>
                <w:rFonts w:ascii="Calibri" w:hAnsi="Calibri"/>
                <w:sz w:val="18"/>
              </w:rPr>
              <w:t>3.677</w:t>
            </w:r>
          </w:p>
        </w:tc>
        <w:tc>
          <w:tcPr>
            <w:tcW w:type="dxa" w:w="1430"/>
            <w:vAlign w:val="center"/>
          </w:tcPr>
          <w:p>
            <w:pPr>
              <w:spacing w:after="0" w:line="240" w:lineRule="auto"/>
            </w:pPr>
            <w:r>
              <w:rPr>
                <w:rFonts w:ascii="Calibri" w:hAnsi="Calibri"/>
                <w:sz w:val="18"/>
              </w:rPr>
              <w:t>0.601</w:t>
            </w:r>
          </w:p>
        </w:tc>
        <w:tc>
          <w:tcPr>
            <w:tcW w:type="dxa" w:w="1430"/>
            <w:vAlign w:val="center"/>
          </w:tcPr>
          <w:p>
            <w:pPr>
              <w:spacing w:after="0" w:line="240" w:lineRule="auto"/>
            </w:pPr>
            <w:r>
              <w:rPr>
                <w:rFonts w:ascii="Calibri" w:hAnsi="Calibri"/>
                <w:sz w:val="18"/>
              </w:rPr>
              <w:t>0.619</w:t>
            </w:r>
          </w:p>
        </w:tc>
      </w:tr>
      <w:tr>
        <w:tc>
          <w:tcPr>
            <w:tcW w:type="dxa" w:w="800"/>
            <w:vAlign w:val="center"/>
          </w:tcPr>
          <w:p>
            <w:pPr>
              <w:spacing w:after="0" w:line="240" w:lineRule="auto"/>
            </w:pPr>
            <w:r>
              <w:rPr>
                <w:rFonts w:ascii="Calibri" w:hAnsi="Calibri"/>
                <w:sz w:val="18"/>
              </w:rPr>
              <w:t>S8</w:t>
            </w:r>
          </w:p>
        </w:tc>
        <w:tc>
          <w:tcPr>
            <w:tcW w:type="dxa" w:w="1400"/>
            <w:vAlign w:val="center"/>
          </w:tcPr>
          <w:p>
            <w:pPr>
              <w:spacing w:after="0" w:line="240" w:lineRule="auto"/>
            </w:pPr>
            <w:r>
              <w:rPr>
                <w:rFonts w:ascii="Calibri" w:hAnsi="Calibri"/>
                <w:sz w:val="18"/>
              </w:rPr>
              <w:t>5.29%</w:t>
            </w:r>
          </w:p>
        </w:tc>
        <w:tc>
          <w:tcPr>
            <w:tcW w:type="dxa" w:w="1450"/>
            <w:vAlign w:val="center"/>
          </w:tcPr>
          <w:p>
            <w:pPr>
              <w:spacing w:after="0" w:line="240" w:lineRule="auto"/>
            </w:pPr>
            <w:r>
              <w:rPr>
                <w:rFonts w:ascii="Calibri" w:hAnsi="Calibri"/>
                <w:sz w:val="18"/>
              </w:rPr>
              <w:t>8.95%</w:t>
            </w:r>
          </w:p>
        </w:tc>
        <w:tc>
          <w:tcPr>
            <w:tcW w:type="dxa" w:w="1400"/>
            <w:vAlign w:val="center"/>
          </w:tcPr>
          <w:p>
            <w:pPr>
              <w:spacing w:after="0" w:line="240" w:lineRule="auto"/>
            </w:pPr>
            <w:r>
              <w:rPr>
                <w:rFonts w:ascii="Calibri" w:hAnsi="Calibri"/>
                <w:sz w:val="18"/>
              </w:rPr>
              <w:t>4.458</w:t>
            </w:r>
          </w:p>
        </w:tc>
        <w:tc>
          <w:tcPr>
            <w:tcW w:type="dxa" w:w="1450"/>
            <w:vAlign w:val="center"/>
          </w:tcPr>
          <w:p>
            <w:pPr>
              <w:spacing w:after="0" w:line="240" w:lineRule="auto"/>
            </w:pPr>
            <w:r>
              <w:rPr>
                <w:rFonts w:ascii="Calibri" w:hAnsi="Calibri"/>
                <w:sz w:val="18"/>
              </w:rPr>
              <w:t>4.436</w:t>
            </w:r>
          </w:p>
        </w:tc>
        <w:tc>
          <w:tcPr>
            <w:tcW w:type="dxa" w:w="1430"/>
            <w:vAlign w:val="center"/>
          </w:tcPr>
          <w:p>
            <w:pPr>
              <w:spacing w:after="0" w:line="240" w:lineRule="auto"/>
            </w:pPr>
            <w:r>
              <w:rPr>
                <w:rFonts w:ascii="Calibri" w:hAnsi="Calibri"/>
                <w:sz w:val="18"/>
              </w:rPr>
              <w:t>0.700</w:t>
            </w:r>
          </w:p>
        </w:tc>
        <w:tc>
          <w:tcPr>
            <w:tcW w:type="dxa" w:w="1430"/>
            <w:vAlign w:val="center"/>
          </w:tcPr>
          <w:p>
            <w:pPr>
              <w:spacing w:after="0" w:line="240" w:lineRule="auto"/>
            </w:pPr>
            <w:r>
              <w:rPr>
                <w:rFonts w:ascii="Calibri" w:hAnsi="Calibri"/>
                <w:sz w:val="18"/>
              </w:rPr>
              <w:t>0.712</w:t>
            </w:r>
          </w:p>
        </w:tc>
      </w:tr>
      <w:tr>
        <w:tc>
          <w:tcPr>
            <w:tcW w:type="dxa" w:w="800"/>
            <w:vAlign w:val="center"/>
          </w:tcPr>
          <w:p>
            <w:pPr>
              <w:spacing w:after="0" w:line="240" w:lineRule="auto"/>
            </w:pPr>
            <w:r>
              <w:rPr>
                <w:rFonts w:ascii="Calibri" w:hAnsi="Calibri"/>
                <w:sz w:val="18"/>
              </w:rPr>
              <w:t>S10</w:t>
            </w:r>
          </w:p>
        </w:tc>
        <w:tc>
          <w:tcPr>
            <w:tcW w:type="dxa" w:w="1400"/>
            <w:vAlign w:val="center"/>
          </w:tcPr>
          <w:p>
            <w:pPr>
              <w:spacing w:after="0" w:line="240" w:lineRule="auto"/>
            </w:pPr>
            <w:r>
              <w:rPr>
                <w:rFonts w:ascii="Calibri" w:hAnsi="Calibri"/>
                <w:sz w:val="18"/>
              </w:rPr>
              <w:t>6.89%</w:t>
            </w:r>
          </w:p>
        </w:tc>
        <w:tc>
          <w:tcPr>
            <w:tcW w:type="dxa" w:w="1450"/>
            <w:vAlign w:val="center"/>
          </w:tcPr>
          <w:p>
            <w:pPr>
              <w:spacing w:after="0" w:line="240" w:lineRule="auto"/>
            </w:pPr>
            <w:r>
              <w:rPr>
                <w:rFonts w:ascii="Calibri" w:hAnsi="Calibri"/>
                <w:sz w:val="18"/>
              </w:rPr>
              <w:t>12.79%</w:t>
            </w:r>
          </w:p>
        </w:tc>
        <w:tc>
          <w:tcPr>
            <w:tcW w:type="dxa" w:w="1400"/>
            <w:vAlign w:val="center"/>
          </w:tcPr>
          <w:p>
            <w:pPr>
              <w:spacing w:after="0" w:line="240" w:lineRule="auto"/>
            </w:pPr>
            <w:r>
              <w:rPr>
                <w:rFonts w:ascii="Calibri" w:hAnsi="Calibri"/>
                <w:sz w:val="18"/>
              </w:rPr>
              <w:t>4.259</w:t>
            </w:r>
          </w:p>
        </w:tc>
        <w:tc>
          <w:tcPr>
            <w:tcW w:type="dxa" w:w="1450"/>
            <w:vAlign w:val="center"/>
          </w:tcPr>
          <w:p>
            <w:pPr>
              <w:spacing w:after="0" w:line="240" w:lineRule="auto"/>
            </w:pPr>
            <w:r>
              <w:rPr>
                <w:rFonts w:ascii="Calibri" w:hAnsi="Calibri"/>
                <w:sz w:val="18"/>
              </w:rPr>
              <w:t>4.225</w:t>
            </w:r>
          </w:p>
        </w:tc>
        <w:tc>
          <w:tcPr>
            <w:tcW w:type="dxa" w:w="1430"/>
            <w:vAlign w:val="center"/>
          </w:tcPr>
          <w:p>
            <w:pPr>
              <w:spacing w:after="0" w:line="240" w:lineRule="auto"/>
            </w:pPr>
            <w:r>
              <w:rPr>
                <w:rFonts w:ascii="Calibri" w:hAnsi="Calibri"/>
                <w:sz w:val="18"/>
              </w:rPr>
              <w:t>0.767</w:t>
            </w:r>
          </w:p>
        </w:tc>
        <w:tc>
          <w:tcPr>
            <w:tcW w:type="dxa" w:w="1430"/>
            <w:vAlign w:val="center"/>
          </w:tcPr>
          <w:p>
            <w:pPr>
              <w:spacing w:after="0" w:line="240" w:lineRule="auto"/>
            </w:pPr>
            <w:r>
              <w:rPr>
                <w:rFonts w:ascii="Calibri" w:hAnsi="Calibri"/>
                <w:sz w:val="18"/>
              </w:rPr>
              <w:t>0.773</w:t>
            </w:r>
          </w:p>
        </w:tc>
      </w:tr>
    </w:tbl>
    <w:p/>
    <w:p>
      <w:r>
        <w:t>Adaptation is not a held-out success. RMSE falls slightly at every view count, but AbsRel and delta-1 worsen, and camera errors rise modestly. At S10, AbsRel increases from 6.89% to 12.79%. The most defensible interpretation is that a tiny two-view adaptation changes the error distribution and over-specializes to the training/validation trajectories. The official checkpoint remains the recommended model.</w:t>
      </w:r>
    </w:p>
    <w:p>
      <w:pPr>
        <w:keepNext/>
        <w:jc w:val="center"/>
      </w:pPr>
      <w:r>
        <w:drawing>
          <wp:inline xmlns:a="http://schemas.openxmlformats.org/drawingml/2006/main" xmlns:pic="http://schemas.openxmlformats.org/drawingml/2006/picture">
            <wp:extent cx="5715000" cy="2857500"/>
            <wp:docPr id="6" name="Picture 6"/>
            <wp:cNvGraphicFramePr>
              <a:graphicFrameLocks noChangeAspect="1"/>
            </wp:cNvGraphicFramePr>
            <a:graphic>
              <a:graphicData uri="http://schemas.openxmlformats.org/drawingml/2006/picture">
                <pic:pic>
                  <pic:nvPicPr>
                    <pic:cNvPr id="0" name="camera_rotation.png"/>
                    <pic:cNvPicPr/>
                  </pic:nvPicPr>
                  <pic:blipFill>
                    <a:blip r:embed="rId16"/>
                    <a:stretch>
                      <a:fillRect/>
                    </a:stretch>
                  </pic:blipFill>
                  <pic:spPr>
                    <a:xfrm>
                      <a:off x="0" y="0"/>
                      <a:ext cx="5715000" cy="2857500"/>
                    </a:xfrm>
                    <a:prstGeom prst="rect"/>
                  </pic:spPr>
                </pic:pic>
              </a:graphicData>
            </a:graphic>
          </wp:inline>
        </w:drawing>
      </w:r>
    </w:p>
    <w:p>
      <w:pPr>
        <w:spacing w:after="160"/>
        <w:jc w:val="center"/>
      </w:pPr>
      <w:r>
        <w:rPr>
          <w:rFonts w:ascii="Calibri" w:hAnsi="Calibri"/>
          <w:i/>
          <w:color w:val="5C6773"/>
          <w:sz w:val="18"/>
        </w:rPr>
        <w:t>Figure 6. Camera rotation error remains low but does not improve after adaptation.</w:t>
      </w:r>
    </w:p>
    <w:p>
      <w:pPr>
        <w:pStyle w:val="Heading1"/>
        <w:keepNext/>
      </w:pPr>
      <w:r>
        <w:t>6. Strengths, weaknesses, and lessons</w:t>
      </w:r>
    </w:p>
    <w:p>
      <w:pPr>
        <w:pStyle w:val="Heading2"/>
        <w:keepNext/>
      </w:pPr>
      <w:r>
        <w:t>Observed strengths</w:t>
      </w:r>
    </w:p>
    <w:p>
      <w:pPr>
        <w:pStyle w:val="ListBullet"/>
      </w:pPr>
      <w:r>
        <w:t>All official output heads operated reliably in the earlier reproduction and real-scene pilots.</w:t>
      </w:r>
    </w:p>
    <w:p>
      <w:pPr>
        <w:pStyle w:val="ListBullet"/>
      </w:pPr>
      <w:r>
        <w:t>On synthetic P000, camera orientation stays below 0.77 degrees mean error through ten views.</w:t>
      </w:r>
    </w:p>
    <w:p>
      <w:pPr>
        <w:pStyle w:val="ListBullet"/>
      </w:pPr>
      <w:r>
        <w:t>Two-view scale-aligned depth is strong: 3.14% AbsRel and 97.8% delta-1.</w:t>
      </w:r>
    </w:p>
    <w:p>
      <w:pPr>
        <w:pStyle w:val="ListBullet"/>
      </w:pPr>
      <w:r>
        <w:t>Frozen-head adaptation is practical on a consumer RTX 5080 with substantial memory margin.</w:t>
      </w:r>
    </w:p>
    <w:p>
      <w:pPr>
        <w:pStyle w:val="Heading2"/>
        <w:keepNext/>
      </w:pPr>
      <w:r>
        <w:t>Observed weaknesses</w:t>
      </w:r>
    </w:p>
    <w:p>
      <w:pPr>
        <w:pStyle w:val="ListBullet"/>
      </w:pPr>
      <w:r>
        <w:t>More overlapping views do not guarantee lower depth error; S10 is worse than S2.</w:t>
      </w:r>
    </w:p>
    <w:p>
      <w:pPr>
        <w:pStyle w:val="ListBullet"/>
      </w:pPr>
      <w:r>
        <w:t>Confidence calibration becomes unreliable at S10 even when outputs remain visually plausible.</w:t>
      </w:r>
    </w:p>
    <w:p>
      <w:pPr>
        <w:pStyle w:val="ListBullet"/>
      </w:pPr>
      <w:r>
        <w:t>Two-point Sim(3) alignment makes S2 camera ATE degenerate; rotation and larger subsets are more informative.</w:t>
      </w:r>
    </w:p>
    <w:p>
      <w:pPr>
        <w:pStyle w:val="ListBullet"/>
      </w:pPr>
      <w:r>
        <w:t>Short domain adaptation can improve one metric while harming more interpretable relative metrics.</w:t>
      </w:r>
    </w:p>
    <w:p>
      <w:pPr>
        <w:pStyle w:val="Heading2"/>
        <w:keepNext/>
      </w:pPr>
      <w:r>
        <w:t>Methodological lesson</w:t>
      </w:r>
    </w:p>
    <w:p>
      <w:r>
        <w:t>A fine-tuning run should not be labeled successful because its training loss decreases. A held-out split, frozen baseline, multiple metrics, and retained negative results are essential.</w:t>
      </w:r>
    </w:p>
    <w:p>
      <w:pPr>
        <w:pStyle w:val="Heading1"/>
        <w:keepNext/>
      </w:pPr>
      <w:r>
        <w:t>7. Limitations</w:t>
      </w:r>
    </w:p>
    <w:p>
      <w:r>
        <w:t>The quantitative synthetic study covers one environment and one ten-frame test window. TartanAir is absent from the documented VGGT training mix, but unreported overlap cannot be excluded. Depth validity is limited to 0.1-100 m to remove synthetic far-value sentinels. The fine-tune uses only 30 steps and adjacent two-view samples; it does not establish the best possible adaptation recipe. Timings are single synchronized forwards, not repeated benchmarks. The original ETH3D study remains qualitative because laser alignment was outside its frozen scope.</w:t>
      </w:r>
    </w:p>
    <w:p>
      <w:pPr>
        <w:pStyle w:val="Heading1"/>
        <w:keepNext/>
      </w:pPr>
      <w:r>
        <w:t>8. Conclusion</w:t>
      </w:r>
    </w:p>
    <w:p>
      <w:r>
        <w:t>VGGT is operationally strong and geometrically accurate on the selected synthetic sequence, but view-count gains are not monotonic and confidence can cease to track error. Fine-tuning the camera/depth heads is feasible on an RTX 5080, yet the measured adaptation overfits and should not replace the official checkpoint. The project therefore satisfies the assignment through varied inputs, explicit strengths and weaknesses, and an honest measured fine-tuning study.</w:t>
      </w:r>
    </w:p>
    <w:p>
      <w:pPr>
        <w:pStyle w:val="Heading1"/>
        <w:keepNext/>
      </w:pPr>
      <w:r>
        <w:t>References</w:t>
      </w:r>
    </w:p>
    <w:p>
      <w:pPr>
        <w:pStyle w:val="ListNumber"/>
      </w:pPr>
      <w:r>
        <w:t>Wang et al. VGGT: Visual Geometry Grounded Transformer. CVPR, 2025.</w:t>
      </w:r>
    </w:p>
    <w:p>
      <w:pPr>
        <w:pStyle w:val="ListNumber"/>
      </w:pPr>
      <w:r>
        <w:t>Schops et al. A Multi-View Stereo Benchmark with High-Resolution Images and Multi-Camera Videos. CVPR, 2017.</w:t>
      </w:r>
    </w:p>
    <w:p>
      <w:pPr>
        <w:pStyle w:val="ListNumber"/>
      </w:pPr>
      <w:r>
        <w:t>Wang et al. TartanAir: A Dataset to Push the Limits of Visual SLAM. IROS, 2020.</w:t>
      </w:r>
    </w:p>
    <w:p>
      <w:pPr>
        <w:pStyle w:val="ListNumber"/>
      </w:pPr>
      <w:r>
        <w:t>Official VGGT repository, pinned project revision a288dd0f14786c93483e45524328726ab7b1b4ce.</w:t>
      </w:r>
    </w:p>
    <w:p>
      <w:pPr>
        <w:pStyle w:val="ListNumber"/>
      </w:pPr>
      <w:r>
        <w:t>TartanAir V2 documentation and official theairlabcmu/tartanair2 distribution.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7"/>
      </w:rPr>
      <w:t>Peleg Shpitzer &amp; Razi Mreeh  |  University of Haifa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C6773"/>
        <w:sz w:val="17"/>
      </w:rPr>
      <w:t>VGGT SEMINAR STUDY  |  VERSION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F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