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23"/>
        <w:pBdr/>
        <w:spacing/>
        <w:ind/>
        <w:rPr/>
      </w:pPr>
      <w:r/>
      <w:bookmarkStart w:id="0" w:name="__RefHeading___Toc2361_2076133143"/>
      <w:r/>
      <w:bookmarkStart w:id="1" w:name="Xa1bf01a76396746244bba61b8b0dec899115885"/>
      <w:r/>
      <w:bookmarkEnd w:id="0"/>
      <w:r>
        <w:t xml:space="preserve">ST6047CEM Cyber Security Project Coursework CW2</w:t>
      </w:r>
      <w:r/>
    </w:p>
    <w:p>
      <w:pPr>
        <w:pStyle w:val="858"/>
        <w:pBdr/>
        <w:spacing/>
        <w:ind/>
        <w:rPr/>
      </w:pPr>
      <w:r/>
      <w:bookmarkStart w:id="2" w:name="__RefHeading___Toc2363_2076133143"/>
      <w:r/>
      <w:bookmarkStart w:id="3" w:name="title-page"/>
      <w:r/>
      <w:bookmarkEnd w:id="2"/>
      <w:r>
        <w:t xml:space="preserve">Title Page</w:t>
      </w:r>
      <w:r/>
    </w:p>
    <w:p>
      <w:pPr>
        <w:pStyle w:val="921"/>
        <w:pBdr/>
        <w:spacing/>
        <w:ind/>
        <w:rPr/>
      </w:pPr>
      <w:r>
        <w:t xml:space="preserve">Projec</w:t>
      </w:r>
      <w:r>
        <w:t xml:space="preserve">t Title: Clipboard Data Leakage Prevention (DLP) Monitor for Endpoint Security</w:t>
        <w:br/>
        <w:t xml:space="preserve">Module: ST6047CEM Cyber Security Project</w:t>
        <w:br/>
        <w:t xml:space="preserve">Submission Type: Individual Coursework (CW2)</w:t>
        <w:br/>
        <w:t xml:space="preserve">Author: [Student Name]</w:t>
        <w:br/>
        <w:t xml:space="preserve">CUID: [Your CUID]</w:t>
        <w:br/>
        <w:t xml:space="preserve">Date: 03 July 2026</w:t>
        <w:br/>
        <w:t xml:space="preserve">Institution: [Institution Name]</w:t>
      </w:r>
      <w:r/>
    </w:p>
    <w:p>
      <w:pPr>
        <w:pStyle w:val="856"/>
        <w:pBdr/>
        <w:spacing/>
        <w:ind/>
        <w:rPr/>
      </w:pPr>
      <w:r/>
      <w:bookmarkEnd w:id="3"/>
      <w:r/>
      <w:r/>
    </w:p>
    <w:p>
      <w:pPr>
        <w:pStyle w:val="858"/>
        <w:pBdr/>
        <w:spacing/>
        <w:ind/>
        <w:rPr/>
      </w:pPr>
      <w:r/>
      <w:bookmarkStart w:id="4" w:name="__RefHeading___Toc2365_2076133143"/>
      <w:r/>
      <w:bookmarkStart w:id="5" w:name="conceptual-diagram"/>
      <w:r/>
      <w:bookmarkEnd w:id="4"/>
      <w:r>
        <w:t xml:space="preserve">Conceptual Diagram</w:t>
      </w:r>
      <w:r/>
    </w:p>
    <w:p>
      <w:pPr>
        <w:pStyle w:val="941"/>
        <w:pBdr/>
        <w:spacing/>
        <w:ind/>
        <w:rPr/>
      </w:pPr>
      <w:r>
        <w:rPr>
          <w:rStyle w:val="879"/>
        </w:rPr>
        <w:t xml:space="preserve">flowchart TD</w:t>
      </w:r>
      <w:r>
        <w:br/>
      </w:r>
      <w:r>
        <w:rPr>
          <w:rStyle w:val="879"/>
        </w:rPr>
        <w:t xml:space="preserve">    A[User Copies Data] --&gt; B[Clipboard Monitor]</w:t>
      </w:r>
      <w:r>
        <w:br/>
      </w:r>
      <w:r>
        <w:rPr>
          <w:rStyle w:val="879"/>
        </w:rPr>
        <w:t xml:space="preserve">    B --&gt; C[Normalization and Deduplication]</w:t>
      </w:r>
      <w:r>
        <w:br/>
      </w:r>
      <w:r>
        <w:rPr>
          <w:rStyle w:val="879"/>
        </w:rPr>
        <w:t xml:space="preserve">    C --&gt; D[Detection Engine]</w:t>
      </w:r>
      <w:r>
        <w:br/>
      </w:r>
      <w:r>
        <w:rPr>
          <w:rStyle w:val="879"/>
        </w:rPr>
        <w:t xml:space="preserve">    D --&gt; D1[Regex Rules]</w:t>
      </w:r>
      <w:r>
        <w:br/>
      </w:r>
      <w:r>
        <w:rPr>
          <w:rStyle w:val="879"/>
        </w:rPr>
        <w:t xml:space="preserve">    D --&gt; D2[YARA Rules]</w:t>
      </w:r>
      <w:r>
        <w:br/>
      </w:r>
      <w:r>
        <w:rPr>
          <w:rStyle w:val="879"/>
        </w:rPr>
        <w:t xml:space="preserve">    D --&gt; D3[Entropy Heuristics]</w:t>
      </w:r>
      <w:r>
        <w:br/>
      </w:r>
      <w:r>
        <w:rPr>
          <w:rStyle w:val="879"/>
        </w:rPr>
        <w:t xml:space="preserve">    D1 --&gt; E[Risk Classification]</w:t>
      </w:r>
      <w:r>
        <w:br/>
      </w:r>
      <w:r>
        <w:rPr>
          <w:rStyle w:val="879"/>
        </w:rPr>
        <w:t xml:space="preserve">    D2 --&gt; E</w:t>
      </w:r>
      <w:r>
        <w:br/>
      </w:r>
      <w:r>
        <w:rPr>
          <w:rStyle w:val="879"/>
        </w:rPr>
        <w:t xml:space="preserve">    D3 --&gt; E</w:t>
      </w:r>
      <w:r>
        <w:br/>
      </w:r>
      <w:r>
        <w:rPr>
          <w:rStyle w:val="879"/>
        </w:rPr>
        <w:t xml:space="preserve">    E --&gt; F1[Alert User]</w:t>
      </w:r>
      <w:r>
        <w:br/>
      </w:r>
      <w:r>
        <w:rPr>
          <w:rStyle w:val="879"/>
        </w:rPr>
        <w:t xml:space="preserve">    E --&gt; F2[Prefix Sensitive Copy]</w:t>
      </w:r>
      <w:r>
        <w:br/>
      </w:r>
      <w:r>
        <w:rPr>
          <w:rStyle w:val="879"/>
        </w:rPr>
        <w:t xml:space="preserve">    E --&gt; F3[Log Event]</w:t>
      </w:r>
      <w:r>
        <w:br/>
      </w:r>
      <w:r>
        <w:rPr>
          <w:rStyle w:val="879"/>
        </w:rPr>
        <w:t xml:space="preserve">    F3 --&gt; G[(SQLite History DB)]</w:t>
      </w:r>
      <w:r>
        <w:br/>
      </w:r>
      <w:r>
        <w:rPr>
          <w:rStyle w:val="879"/>
        </w:rPr>
        <w:t xml:space="preserve">    G --&gt; H[GUI Dashboard]</w:t>
      </w:r>
      <w:r>
        <w:br/>
      </w:r>
      <w:r>
        <w:rPr>
          <w:rStyle w:val="879"/>
        </w:rPr>
        <w:t xml:space="preserve">    H --&gt; I[Export CSV and Reports]</w:t>
      </w:r>
      <w:r/>
    </w:p>
    <w:p>
      <w:pPr>
        <w:pStyle w:val="921"/>
        <w:pBdr/>
        <w:spacing/>
        <w:ind/>
        <w:rPr/>
      </w:pPr>
      <w:r>
        <w:t xml:space="preserve">Figure 1. High-level architecture of the Clipboard DLP system.</w:t>
      </w:r>
      <w:r/>
    </w:p>
    <w:p w14:paraId="40AF14DD">
      <w:pPr>
        <w:pBdr/>
        <w:shd w:val="nil"/>
        <w:spacing/>
        <w:ind/>
        <w:rPr/>
      </w:pPr>
      <w:r>
        <w:br w:type="page" w:clear="all"/>
      </w:r>
      <w:r/>
      <w:r/>
    </w:p>
    <w:p w14:paraId="317F67E3">
      <w:pPr>
        <w:pStyle w:val="917"/>
        <w:pBdr/>
        <w:spacing/>
        <w:ind/>
        <w:rPr/>
      </w:pPr>
      <w:r/>
      <w:r/>
      <w:r/>
    </w:p>
    <w:p>
      <w:pPr>
        <w:pStyle w:val="856"/>
        <w:pBdr/>
        <w:spacing/>
        <w:ind/>
        <w:rPr/>
      </w:pPr>
      <w:r>
        <mc:AlternateContent>
          <mc:Choice Requires="wpg">
            <w:drawing>
              <wp:inline xmlns:wp="http://schemas.openxmlformats.org/drawingml/2006/wordprocessingDrawing" distT="0" distB="0" distL="0" distR="0">
                <wp:extent cx="5943600" cy="19050"/>
                <wp:effectExtent l="0" t="0" r="0" b="0"/>
                <wp:docPr id="1" name=""/>
                <wp:cNvGraphicFramePr/>
                <a:graphic xmlns:a="http://schemas.openxmlformats.org/drawingml/2006/main">
                  <a:graphicData uri="http://schemas.microsoft.com/office/word/2010/wordprocessingShape">
                    <wps:wsp>
                      <wps:cNvPr id="0" name=""/>
                      <wps:cNvSpPr/>
                      <wps:spPr bwMode="auto">
                        <a:xfrm>
                          <a:off x="0" y="0"/>
                          <a:ext cx="5943600" cy="19080"/>
                        </a:xfrm>
                        <a:prstGeom prst="rect">
                          <a:avLst/>
                        </a:prstGeom>
                        <a:solidFill>
                          <a:srgbClr val="FFFFFF"/>
                        </a:solidFill>
                        <a:ln w="0">
                          <a:solidFill>
                            <a:srgbClr val="000000"/>
                          </a:solidFill>
                        </a:ln>
                      </wps:spPr>
                      <wps:bodyPr rot="0">
                        <a:prstTxWarp prst="textNoShape">
                          <a:avLst/>
                        </a:prstTxWarp>
                        <a:noAutofit/>
                      </wps:bodyPr>
                    </wps:wsp>
                  </a:graphicData>
                </a:graphic>
              </wp:inline>
            </w:drawing>
          </mc:Choice>
          <mc:Fallback>
            <w:pict>
              <v:shape id="shape 0" o:spid="_x0000_s0" o:spt="1" type="#_x0000_t1" style="width:468.00pt;height:1.50pt;mso-wrap-distance-left:0.00pt;mso-wrap-distance-top:0.00pt;mso-wrap-distance-right:0.00pt;mso-wrap-distance-bottom:0.00pt;visibility:visible;" fillcolor="#FFFFFF" strokecolor="#000000" strokeweight="0.00pt"/>
            </w:pict>
          </mc:Fallback>
        </mc:AlternateContent>
      </w:r>
      <w:bookmarkEnd w:id="5"/>
      <w:r/>
      <w:r/>
    </w:p>
    <w:p>
      <w:pPr>
        <w:pStyle w:val="858"/>
        <w:pBdr/>
        <w:spacing/>
        <w:ind/>
        <w:rPr/>
      </w:pPr>
      <w:r/>
      <w:bookmarkStart w:id="6" w:name="__RefHeading___Toc2367_2076133143"/>
      <w:r/>
      <w:bookmarkStart w:id="7" w:name="acknowledgment"/>
      <w:r/>
      <w:bookmarkEnd w:id="6"/>
      <w:r>
        <w:t xml:space="preserve">Acknowledgment</w:t>
      </w:r>
      <w:r/>
    </w:p>
    <w:p>
      <w:pPr>
        <w:pStyle w:val="921"/>
        <w:pBdr/>
        <w:spacing/>
        <w:ind/>
        <w:rPr/>
      </w:pPr>
      <w:r>
        <w:t xml:space="preserve">This proj</w:t>
      </w:r>
      <w:r>
        <w:t xml:space="preserve">ect was developed with guidance from module lecturers, peer feedback from the cybersecurity cohort, and open-source documentation from Python and security communities. Their support enabled practical implementation, testing, and refinement of the solution.</w:t>
      </w:r>
      <w:r/>
    </w:p>
    <w:p>
      <w:pPr>
        <w:pStyle w:val="856"/>
        <w:pBdr/>
        <w:spacing/>
        <w:ind/>
        <w:rPr/>
      </w:pPr>
      <w:r>
        <mc:AlternateContent>
          <mc:Choice Requires="wpg">
            <w:drawing>
              <wp:inline xmlns:wp="http://schemas.openxmlformats.org/drawingml/2006/wordprocessingDrawing" distT="0" distB="0" distL="0" distR="0">
                <wp:extent cx="5943600" cy="19050"/>
                <wp:effectExtent l="0" t="0" r="0" b="0"/>
                <wp:docPr id="2" name=""/>
                <wp:cNvGraphicFramePr/>
                <a:graphic xmlns:a="http://schemas.openxmlformats.org/drawingml/2006/main">
                  <a:graphicData uri="http://schemas.microsoft.com/office/word/2010/wordprocessingShape">
                    <wps:wsp>
                      <wps:cNvPr id="0" name=""/>
                      <wps:cNvSpPr/>
                      <wps:spPr bwMode="auto">
                        <a:xfrm>
                          <a:off x="0" y="0"/>
                          <a:ext cx="5943600" cy="19080"/>
                        </a:xfrm>
                        <a:prstGeom prst="rect">
                          <a:avLst/>
                        </a:prstGeom>
                        <a:solidFill>
                          <a:srgbClr val="FFFFFF"/>
                        </a:solidFill>
                        <a:ln w="0">
                          <a:solidFill>
                            <a:srgbClr val="000000"/>
                          </a:solidFill>
                        </a:ln>
                      </wps:spPr>
                      <wps:bodyPr rot="0">
                        <a:prstTxWarp prst="textNoShape">
                          <a:avLst/>
                        </a:prstTxWarp>
                        <a:noAutofit/>
                      </wps:bodyPr>
                    </wps:wsp>
                  </a:graphicData>
                </a:graphic>
              </wp:inline>
            </w:drawing>
          </mc:Choice>
          <mc:Fallback>
            <w:pict>
              <v:shape id="shape 1" o:spid="_x0000_s1" o:spt="1" type="#_x0000_t1" style="width:468.00pt;height:1.50pt;mso-wrap-distance-left:0.00pt;mso-wrap-distance-top:0.00pt;mso-wrap-distance-right:0.00pt;mso-wrap-distance-bottom:0.00pt;visibility:visible;" fillcolor="#FFFFFF" strokecolor="#000000" strokeweight="0.00pt"/>
            </w:pict>
          </mc:Fallback>
        </mc:AlternateContent>
      </w:r>
      <w:bookmarkEnd w:id="7"/>
      <w:r/>
      <w:r/>
    </w:p>
    <w:p>
      <w:pPr>
        <w:pStyle w:val="858"/>
        <w:pBdr/>
        <w:spacing/>
        <w:ind/>
        <w:rPr/>
      </w:pPr>
      <w:r/>
      <w:bookmarkStart w:id="8" w:name="__RefHeading___Toc2369_2076133143"/>
      <w:r/>
      <w:bookmarkStart w:id="9" w:name="abstract"/>
      <w:r/>
      <w:bookmarkEnd w:id="8"/>
      <w:r>
        <w:t xml:space="preserve">Abstract</w:t>
      </w:r>
      <w:r/>
    </w:p>
    <w:p>
      <w:pPr>
        <w:pStyle w:val="921"/>
        <w:pBdr/>
        <w:spacing/>
        <w:ind/>
        <w:rPr/>
      </w:pPr>
      <w:r>
        <w:t xml:space="preserve">Clipboard data leakage is a high-impact but under-monitored endpoint risk. Sensitive information such as passwords, API keys, one-time passcodes, credit card numbers, and cryptocurrency addresses can be exposed through malware interception, accidental p</w:t>
      </w:r>
      <w:r>
        <w:t xml:space="preserve">aste events, or insecure workflows. This project presents a lightweight Clipboard Data Leakage Prevention (DLP) monitor implemented in Python to detect sensitive data in near real time and support user protection through alerts, tagging, and event logging.</w:t>
      </w:r>
      <w:r/>
    </w:p>
    <w:p>
      <w:pPr>
        <w:pStyle w:val="917"/>
        <w:pBdr/>
        <w:spacing/>
        <w:ind/>
        <w:rPr/>
      </w:pPr>
      <w:r>
        <w:t xml:space="preserve">The system uses a modular architecture with clipboard polling, regex and optional YARA detection, entropy-based heuristics, source-capture attempts, local SQLite persistence, and a Tkinter-based interface for review and export. Detection includ</w:t>
      </w:r>
      <w:r>
        <w:t xml:space="preserve">es common security-relevant patterns such as AWS keys, JWT-like strings, credit card numbers, and crypto-wallet indicators. Automated tests confirm core detection accuracy and UI behaviors, with all test cases passing in the configured project environment.</w:t>
      </w:r>
      <w:r/>
    </w:p>
    <w:p>
      <w:pPr>
        <w:pStyle w:val="917"/>
        <w:pBdr/>
        <w:spacing/>
        <w:ind/>
        <w:rPr/>
      </w:pPr>
      <w:r>
        <w:t xml:space="preserve">Findings show that an endpoint-focused clipboard monitor can improve visibility and control with low implementation overhead. The study also identif</w:t>
      </w:r>
      <w:r>
        <w:t xml:space="preserve">ies limitations in false positives, platform dependency, and privacy trade-offs when storing clipboard history. Recommendations include stronger context-aware classification, policy-driven response modes, and integration with enterprise SIEM/SOC workflows.</w:t>
      </w:r>
      <w:r/>
    </w:p>
    <w:p>
      <w:pPr>
        <w:pStyle w:val="856"/>
        <w:pBdr/>
        <w:spacing/>
        <w:ind/>
        <w:rPr/>
      </w:pPr>
      <w:r>
        <mc:AlternateContent>
          <mc:Choice Requires="wpg">
            <w:drawing>
              <wp:inline xmlns:wp="http://schemas.openxmlformats.org/drawingml/2006/wordprocessingDrawing" distT="0" distB="0" distL="0" distR="0">
                <wp:extent cx="5943600" cy="19050"/>
                <wp:effectExtent l="0" t="0" r="0" b="0"/>
                <wp:docPr id="3" name=""/>
                <wp:cNvGraphicFramePr/>
                <a:graphic xmlns:a="http://schemas.openxmlformats.org/drawingml/2006/main">
                  <a:graphicData uri="http://schemas.microsoft.com/office/word/2010/wordprocessingShape">
                    <wps:wsp>
                      <wps:cNvPr id="0" name=""/>
                      <wps:cNvSpPr/>
                      <wps:spPr bwMode="auto">
                        <a:xfrm>
                          <a:off x="0" y="0"/>
                          <a:ext cx="5943600" cy="19080"/>
                        </a:xfrm>
                        <a:prstGeom prst="rect">
                          <a:avLst/>
                        </a:prstGeom>
                        <a:solidFill>
                          <a:srgbClr val="FFFFFF"/>
                        </a:solidFill>
                        <a:ln w="0">
                          <a:solidFill>
                            <a:srgbClr val="000000"/>
                          </a:solidFill>
                        </a:ln>
                      </wps:spPr>
                      <wps:bodyPr rot="0">
                        <a:prstTxWarp prst="textNoShape">
                          <a:avLst/>
                        </a:prstTxWarp>
                        <a:noAutofit/>
                      </wps:bodyPr>
                    </wps:wsp>
                  </a:graphicData>
                </a:graphic>
              </wp:inline>
            </w:drawing>
          </mc:Choice>
          <mc:Fallback>
            <w:pict>
              <v:shape id="shape 2" o:spid="_x0000_s2" o:spt="1" type="#_x0000_t1" style="width:468.00pt;height:1.50pt;mso-wrap-distance-left:0.00pt;mso-wrap-distance-top:0.00pt;mso-wrap-distance-right:0.00pt;mso-wrap-distance-bottom:0.00pt;visibility:visible;" fillcolor="#FFFFFF" strokecolor="#000000" strokeweight="0.00pt"/>
            </w:pict>
          </mc:Fallback>
        </mc:AlternateContent>
      </w:r>
      <w:bookmarkEnd w:id="9"/>
      <w:r/>
      <w:r/>
    </w:p>
    <w:p>
      <w:pPr>
        <w:pStyle w:val="858"/>
        <w:pBdr/>
        <w:spacing/>
        <w:ind/>
        <w:rPr/>
      </w:pPr>
      <w:r/>
      <w:bookmarkStart w:id="10" w:name="__RefHeading___Toc2371_2076133143"/>
      <w:r/>
      <w:bookmarkStart w:id="11" w:name="keywords"/>
      <w:r/>
      <w:bookmarkEnd w:id="10"/>
      <w:r>
        <w:t xml:space="preserve">Keywords</w:t>
      </w:r>
      <w:r/>
    </w:p>
    <w:p>
      <w:pPr>
        <w:pStyle w:val="921"/>
        <w:pBdr/>
        <w:spacing/>
        <w:ind/>
        <w:rPr/>
      </w:pPr>
      <w:r>
        <w:t xml:space="preserve">Clipboard security, Data Leakage Prevention, Endpoint security, Regex detection, YARA, Cybersecurity monitoring, Risk classification, Secure coding, Privacy by design, Threat mitigation</w:t>
      </w:r>
      <w:r/>
    </w:p>
    <w:p w14:paraId="5975F285">
      <w:pPr>
        <w:pBdr/>
        <w:shd w:val="nil"/>
        <w:spacing/>
        <w:ind/>
        <w:rPr/>
      </w:pPr>
      <w:r>
        <w:br w:type="page" w:clear="all"/>
      </w:r>
      <w:r/>
      <w:r/>
      <w:r/>
      <w:r/>
      <w:r/>
      <w:r/>
      <w:bookmarkStart w:id="12" w:name="table-of-contents"/>
      <w:r/>
      <w:bookmarkEnd w:id="11"/>
      <w:r/>
      <w:r/>
      <w:r/>
    </w:p>
    <w:sdt>
      <w:sdtPr>
        <w15:appearance w15:val="boundingBox"/>
        <w:docPartObj>
          <w:docPartGallery w:val="Table of Contents"/>
          <w:docPartUnique w:val="true"/>
        </w:docPartObj>
        <w:rPr/>
      </w:sdtPr>
      <w:sdtContent>
        <w:p>
          <w:pPr>
            <w:pStyle w:val="940"/>
            <w:pBdr/>
            <w:spacing/>
            <w:ind/>
            <w:rPr/>
          </w:pPr>
          <w:r>
            <w:t xml:space="preserve">Table of Contents</w:t>
          </w:r>
          <w:r/>
        </w:p>
        <w:p>
          <w:pPr>
            <w:pStyle w:val="943"/>
            <w:pBdr/>
            <w:tabs>
              <w:tab w:val="right" w:leader="dot" w:pos="9359"/>
              <w:tab w:val="clear" w:leader="none" w:pos="9360"/>
            </w:tabs>
            <w:spacing/>
            <w:ind/>
            <w:rPr/>
          </w:pPr>
          <w:r>
            <w:fldChar w:fldCharType="begin"/>
          </w:r>
          <w:r>
            <w:rPr>
              <w:rStyle w:val="915"/>
            </w:rPr>
            <w:instrText xml:space="preserve"> TOC \f \o "1-9" \h</w:instrText>
          </w:r>
          <w:r>
            <w:rPr>
              <w:rStyle w:val="915"/>
            </w:rPr>
            <w:fldChar w:fldCharType="separate"/>
          </w:r>
          <w:hyperlink w:tooltip="ST6047CEM Cyber Security Project Coursework CW2" w:anchor="__RefHeading___Toc2361_2076133143" w:history="1">
            <w:r>
              <w:rPr>
                <w:rStyle w:val="915"/>
              </w:rPr>
              <w:t xml:space="preserve">ST6047CEM Cyber Security Project Coursework CW2</w:t>
              <w:tab/>
              <w:t xml:space="preserve">1</w:t>
            </w:r>
          </w:hyperlink>
          <w:r/>
          <w:r/>
        </w:p>
        <w:p>
          <w:pPr>
            <w:pStyle w:val="944"/>
            <w:pBdr/>
            <w:tabs>
              <w:tab w:val="clear" w:leader="none" w:pos="9077"/>
              <w:tab w:val="right" w:leader="dot" w:pos="9359"/>
            </w:tabs>
            <w:spacing/>
            <w:ind/>
            <w:rPr/>
          </w:pPr>
          <w:r/>
          <w:hyperlink w:tooltip="Title Page" w:anchor="__RefHeading___Toc2363_2076133143" w:history="1">
            <w:r>
              <w:rPr>
                <w:rStyle w:val="915"/>
              </w:rPr>
              <w:t xml:space="preserve">Title Page</w:t>
              <w:tab/>
              <w:t xml:space="preserve">1</w:t>
            </w:r>
          </w:hyperlink>
          <w:r/>
          <w:r/>
        </w:p>
        <w:p>
          <w:pPr>
            <w:pStyle w:val="944"/>
            <w:pBdr/>
            <w:tabs>
              <w:tab w:val="clear" w:leader="none" w:pos="9077"/>
              <w:tab w:val="right" w:leader="dot" w:pos="9359"/>
            </w:tabs>
            <w:spacing/>
            <w:ind/>
            <w:rPr/>
          </w:pPr>
          <w:r/>
          <w:hyperlink w:tooltip="Conceptual Diagram" w:anchor="__RefHeading___Toc2365_2076133143" w:history="1">
            <w:r>
              <w:rPr>
                <w:rStyle w:val="915"/>
              </w:rPr>
              <w:t xml:space="preserve">Conceptual Diagram</w:t>
              <w:tab/>
              <w:t xml:space="preserve">1</w:t>
            </w:r>
          </w:hyperlink>
          <w:r/>
          <w:r/>
        </w:p>
        <w:p>
          <w:pPr>
            <w:pStyle w:val="944"/>
            <w:pBdr/>
            <w:tabs>
              <w:tab w:val="clear" w:leader="none" w:pos="9077"/>
              <w:tab w:val="right" w:leader="dot" w:pos="9359"/>
            </w:tabs>
            <w:spacing/>
            <w:ind/>
            <w:rPr/>
          </w:pPr>
          <w:r/>
          <w:hyperlink w:tooltip="Acknowledgment" w:anchor="__RefHeading___Toc2367_2076133143" w:history="1">
            <w:r>
              <w:rPr>
                <w:rStyle w:val="915"/>
              </w:rPr>
              <w:t xml:space="preserve">Acknowledgment</w:t>
              <w:tab/>
              <w:t xml:space="preserve">2</w:t>
            </w:r>
          </w:hyperlink>
          <w:r/>
          <w:r/>
        </w:p>
        <w:p>
          <w:pPr>
            <w:pStyle w:val="944"/>
            <w:pBdr/>
            <w:tabs>
              <w:tab w:val="clear" w:leader="none" w:pos="9077"/>
              <w:tab w:val="right" w:leader="dot" w:pos="9359"/>
            </w:tabs>
            <w:spacing/>
            <w:ind/>
            <w:rPr/>
          </w:pPr>
          <w:r/>
          <w:hyperlink w:tooltip="Abstract" w:anchor="__RefHeading___Toc2369_2076133143" w:history="1">
            <w:r>
              <w:rPr>
                <w:rStyle w:val="915"/>
              </w:rPr>
              <w:t xml:space="preserve">Abstract</w:t>
              <w:tab/>
              <w:t xml:space="preserve">2</w:t>
            </w:r>
          </w:hyperlink>
          <w:r/>
          <w:r/>
        </w:p>
        <w:p>
          <w:pPr>
            <w:pStyle w:val="944"/>
            <w:pBdr/>
            <w:tabs>
              <w:tab w:val="clear" w:leader="none" w:pos="9077"/>
              <w:tab w:val="right" w:leader="dot" w:pos="9359"/>
            </w:tabs>
            <w:spacing/>
            <w:ind/>
            <w:rPr/>
          </w:pPr>
          <w:r/>
          <w:hyperlink w:tooltip="Keywords" w:anchor="__RefHeading___Toc2371_2076133143" w:history="1">
            <w:r>
              <w:rPr>
                <w:rStyle w:val="915"/>
              </w:rPr>
              <w:t xml:space="preserve">Keywords</w:t>
              <w:tab/>
              <w:t xml:space="preserve">2</w:t>
            </w:r>
          </w:hyperlink>
          <w:r/>
          <w:r/>
        </w:p>
        <w:p>
          <w:pPr>
            <w:pStyle w:val="944"/>
            <w:pBdr/>
            <w:tabs>
              <w:tab w:val="clear" w:leader="none" w:pos="9077"/>
              <w:tab w:val="right" w:leader="dot" w:pos="9359"/>
            </w:tabs>
            <w:spacing/>
            <w:ind/>
            <w:rPr/>
          </w:pPr>
          <w:r/>
          <w:hyperlink w:tooltip="Table of Contents" w:anchor="__RefHeading___Toc2373_2076133143" w:history="1">
            <w:r>
              <w:rPr>
                <w:rStyle w:val="915"/>
              </w:rPr>
              <w:t xml:space="preserve">Table of Contents</w:t>
              <w:tab/>
              <w:t xml:space="preserve">3</w:t>
            </w:r>
          </w:hyperlink>
          <w:r/>
          <w:r/>
        </w:p>
        <w:p>
          <w:pPr>
            <w:pStyle w:val="944"/>
            <w:pBdr/>
            <w:tabs>
              <w:tab w:val="clear" w:leader="none" w:pos="9077"/>
              <w:tab w:val="right" w:leader="dot" w:pos="9359"/>
            </w:tabs>
            <w:spacing/>
            <w:ind/>
            <w:rPr/>
          </w:pPr>
          <w:r/>
          <w:hyperlink w:tooltip="List of Figures and Tables" w:anchor="__RefHeading___Toc2375_2076133143" w:history="1">
            <w:r>
              <w:rPr>
                <w:rStyle w:val="915"/>
              </w:rPr>
              <w:t xml:space="preserve">List of Figures and Tables</w:t>
              <w:tab/>
              <w:t xml:space="preserve">9</w:t>
            </w:r>
          </w:hyperlink>
          <w:r/>
          <w:r/>
        </w:p>
        <w:p>
          <w:pPr>
            <w:pStyle w:val="944"/>
            <w:pBdr/>
            <w:tabs>
              <w:tab w:val="clear" w:leader="none" w:pos="9077"/>
              <w:tab w:val="right" w:leader="dot" w:pos="9359"/>
            </w:tabs>
            <w:spacing/>
            <w:ind/>
            <w:rPr/>
          </w:pPr>
          <w:r/>
          <w:hyperlink w:tooltip="Introduction" w:anchor="__RefHeading___Toc2377_2076133143" w:history="1">
            <w:r>
              <w:rPr>
                <w:rStyle w:val="915"/>
              </w:rPr>
              <w:t xml:space="preserve">Introduction</w:t>
              <w:tab/>
              <w:t xml:space="preserve">9</w:t>
            </w:r>
          </w:hyperlink>
          <w:r/>
          <w:r/>
        </w:p>
        <w:p>
          <w:pPr>
            <w:pStyle w:val="945"/>
            <w:pBdr/>
            <w:tabs>
              <w:tab w:val="clear" w:leader="none" w:pos="8793"/>
              <w:tab w:val="right" w:leader="dot" w:pos="9359"/>
            </w:tabs>
            <w:spacing/>
            <w:ind/>
            <w:rPr/>
          </w:pPr>
          <w:r/>
          <w:hyperlink w:tooltip="Background and Context" w:anchor="__RefHeading___Toc2379_2076133143" w:history="1">
            <w:r>
              <w:rPr>
                <w:rStyle w:val="915"/>
              </w:rPr>
              <w:t xml:space="preserve">Background and Context</w:t>
              <w:tab/>
              <w:t xml:space="preserve">9</w:t>
            </w:r>
          </w:hyperlink>
          <w:r/>
          <w:r/>
        </w:p>
        <w:p>
          <w:pPr>
            <w:pStyle w:val="945"/>
            <w:pBdr/>
            <w:tabs>
              <w:tab w:val="clear" w:leader="none" w:pos="8793"/>
              <w:tab w:val="right" w:leader="dot" w:pos="9359"/>
            </w:tabs>
            <w:spacing/>
            <w:ind/>
            <w:rPr/>
          </w:pPr>
          <w:r/>
          <w:hyperlink w:tooltip="Problem Statement" w:anchor="__RefHeading___Toc2381_2076133143" w:history="1">
            <w:r>
              <w:rPr>
                <w:rStyle w:val="915"/>
              </w:rPr>
              <w:t xml:space="preserve">Problem Statement</w:t>
              <w:tab/>
              <w:t xml:space="preserve">10</w:t>
            </w:r>
          </w:hyperlink>
          <w:r/>
          <w:r/>
        </w:p>
        <w:p>
          <w:pPr>
            <w:pStyle w:val="945"/>
            <w:pBdr/>
            <w:tabs>
              <w:tab w:val="clear" w:leader="none" w:pos="8793"/>
              <w:tab w:val="right" w:leader="dot" w:pos="9359"/>
            </w:tabs>
            <w:spacing/>
            <w:ind/>
            <w:rPr/>
          </w:pPr>
          <w:r/>
          <w:hyperlink w:tooltip="Aim and Objectives" w:anchor="__RefHeading___Toc2383_2076133143" w:history="1">
            <w:r>
              <w:rPr>
                <w:rStyle w:val="915"/>
              </w:rPr>
              <w:t xml:space="preserve">Aim and Objectives</w:t>
              <w:tab/>
              <w:t xml:space="preserve">10</w:t>
            </w:r>
          </w:hyperlink>
          <w:r/>
          <w:r/>
        </w:p>
        <w:p>
          <w:pPr>
            <w:pStyle w:val="945"/>
            <w:pBdr/>
            <w:tabs>
              <w:tab w:val="clear" w:leader="none" w:pos="8793"/>
              <w:tab w:val="right" w:leader="dot" w:pos="9359"/>
            </w:tabs>
            <w:spacing/>
            <w:ind/>
            <w:rPr/>
          </w:pPr>
          <w:r/>
          <w:hyperlink w:tooltip="Justification" w:anchor="__RefHeading___Toc2385_2076133143" w:history="1">
            <w:r>
              <w:rPr>
                <w:rStyle w:val="915"/>
              </w:rPr>
              <w:t xml:space="preserve">Justification</w:t>
              <w:tab/>
              <w:t xml:space="preserve">10</w:t>
            </w:r>
          </w:hyperlink>
          <w:r/>
          <w:r/>
        </w:p>
        <w:p>
          <w:pPr>
            <w:pStyle w:val="944"/>
            <w:pBdr/>
            <w:tabs>
              <w:tab w:val="clear" w:leader="none" w:pos="9077"/>
              <w:tab w:val="right" w:leader="dot" w:pos="9359"/>
            </w:tabs>
            <w:spacing/>
            <w:ind/>
            <w:rPr/>
          </w:pPr>
          <w:r/>
          <w:hyperlink w:tooltip="Scope" w:anchor="__RefHeading___Toc2387_2076133143" w:history="1">
            <w:r>
              <w:rPr>
                <w:rStyle w:val="915"/>
              </w:rPr>
              <w:t xml:space="preserve">Scope</w:t>
              <w:tab/>
              <w:t xml:space="preserve">10</w:t>
            </w:r>
          </w:hyperlink>
          <w:r/>
          <w:r/>
        </w:p>
        <w:p>
          <w:pPr>
            <w:pStyle w:val="944"/>
            <w:pBdr/>
            <w:tabs>
              <w:tab w:val="clear" w:leader="none" w:pos="9077"/>
              <w:tab w:val="right" w:leader="dot" w:pos="9359"/>
            </w:tabs>
            <w:spacing/>
            <w:ind/>
            <w:rPr/>
          </w:pPr>
          <w:r/>
          <w:hyperlink w:tooltip="Research Methodology (Overview)" w:anchor="__RefHeading___Toc2389_2076133143" w:history="1">
            <w:r>
              <w:rPr>
                <w:rStyle w:val="915"/>
              </w:rPr>
              <w:t xml:space="preserve">Research Methodology (Overview)</w:t>
              <w:tab/>
              <w:t xml:space="preserve">11</w:t>
            </w:r>
          </w:hyperlink>
          <w:r/>
          <w:r/>
        </w:p>
        <w:p>
          <w:pPr>
            <w:pStyle w:val="944"/>
            <w:pBdr/>
            <w:tabs>
              <w:tab w:val="clear" w:leader="none" w:pos="9077"/>
              <w:tab w:val="right" w:leader="dot" w:pos="9359"/>
            </w:tabs>
            <w:spacing/>
            <w:ind/>
            <w:rPr/>
          </w:pPr>
          <w:r/>
          <w:hyperlink w:tooltip="Literature Review" w:anchor="__RefHeading___Toc2391_2076133143" w:history="1">
            <w:r>
              <w:rPr>
                <w:rStyle w:val="915"/>
              </w:rPr>
              <w:t xml:space="preserve">Literature Review</w:t>
              <w:tab/>
              <w:t xml:space="preserve">12</w:t>
            </w:r>
          </w:hyperlink>
          <w:r/>
          <w:r/>
        </w:p>
        <w:p>
          <w:pPr>
            <w:pStyle w:val="945"/>
            <w:pBdr/>
            <w:tabs>
              <w:tab w:val="clear" w:leader="none" w:pos="8793"/>
              <w:tab w:val="right" w:leader="dot" w:pos="9359"/>
            </w:tabs>
            <w:spacing/>
            <w:ind/>
            <w:rPr/>
          </w:pPr>
          <w:r/>
          <w:hyperlink w:tooltip="Cyber Security Overview: Concepts and Frameworks" w:anchor="__RefHeading___Toc2393_2076133143" w:history="1">
            <w:r>
              <w:rPr>
                <w:rStyle w:val="915"/>
              </w:rPr>
              <w:t xml:space="preserve">Cyber Security Overview: Concepts and Frameworks</w:t>
              <w:tab/>
              <w:t xml:space="preserve">12</w:t>
            </w:r>
          </w:hyperlink>
          <w:r/>
          <w:r/>
        </w:p>
        <w:p>
          <w:pPr>
            <w:pStyle w:val="945"/>
            <w:pBdr/>
            <w:tabs>
              <w:tab w:val="clear" w:leader="none" w:pos="8793"/>
              <w:tab w:val="right" w:leader="dot" w:pos="9359"/>
            </w:tabs>
            <w:spacing/>
            <w:ind/>
            <w:rPr/>
          </w:pPr>
          <w:r/>
          <w:hyperlink w:tooltip="Existing Research and Case Studies" w:anchor="__RefHeading___Toc2395_2076133143" w:history="1">
            <w:r>
              <w:rPr>
                <w:rStyle w:val="915"/>
              </w:rPr>
              <w:t xml:space="preserve">Existing Research and Case Studies</w:t>
              <w:tab/>
              <w:t xml:space="preserve">12</w:t>
            </w:r>
          </w:hyperlink>
          <w:r/>
          <w:r/>
        </w:p>
        <w:p>
          <w:pPr>
            <w:pStyle w:val="945"/>
            <w:pBdr/>
            <w:tabs>
              <w:tab w:val="clear" w:leader="none" w:pos="8793"/>
              <w:tab w:val="right" w:leader="dot" w:pos="9359"/>
            </w:tabs>
            <w:spacing/>
            <w:ind/>
            <w:rPr/>
          </w:pPr>
          <w:r/>
          <w:hyperlink w:tooltip="Gaps and Areas for Further Research" w:anchor="__RefHeading___Toc2397_2076133143" w:history="1">
            <w:r>
              <w:rPr>
                <w:rStyle w:val="915"/>
              </w:rPr>
              <w:t xml:space="preserve">Gaps and Areas for Further Research</w:t>
              <w:tab/>
              <w:t xml:space="preserve">13</w:t>
            </w:r>
          </w:hyperlink>
          <w:r/>
          <w:r/>
        </w:p>
        <w:p>
          <w:pPr>
            <w:pStyle w:val="944"/>
            <w:pBdr/>
            <w:tabs>
              <w:tab w:val="clear" w:leader="none" w:pos="9077"/>
              <w:tab w:val="right" w:leader="dot" w:pos="9359"/>
            </w:tabs>
            <w:spacing/>
            <w:ind/>
            <w:rPr/>
          </w:pPr>
          <w:r/>
          <w:hyperlink w:tooltip="Methodology" w:anchor="__RefHeading___Toc2399_2076133143" w:history="1">
            <w:r>
              <w:rPr>
                <w:rStyle w:val="915"/>
              </w:rPr>
              <w:t xml:space="preserve">Methodology</w:t>
              <w:tab/>
              <w:t xml:space="preserve">13</w:t>
            </w:r>
          </w:hyperlink>
          <w:r/>
          <w:r/>
        </w:p>
        <w:p>
          <w:pPr>
            <w:pStyle w:val="945"/>
            <w:pBdr/>
            <w:tabs>
              <w:tab w:val="clear" w:leader="none" w:pos="8793"/>
              <w:tab w:val="right" w:leader="dot" w:pos="9359"/>
            </w:tabs>
            <w:spacing/>
            <w:ind/>
            <w:rPr/>
          </w:pPr>
          <w:r/>
          <w:hyperlink w:tooltip="Research Design" w:anchor="__RefHeading___Toc2401_2076133143" w:history="1">
            <w:r>
              <w:rPr>
                <w:rStyle w:val="915"/>
              </w:rPr>
              <w:t xml:space="preserve">Research Design</w:t>
              <w:tab/>
              <w:t xml:space="preserve">13</w:t>
            </w:r>
          </w:hyperlink>
          <w:r/>
          <w:r/>
        </w:p>
        <w:p>
          <w:pPr>
            <w:pStyle w:val="945"/>
            <w:pBdr/>
            <w:tabs>
              <w:tab w:val="clear" w:leader="none" w:pos="8793"/>
              <w:tab w:val="right" w:leader="dot" w:pos="9359"/>
            </w:tabs>
            <w:spacing/>
            <w:ind/>
            <w:rPr/>
          </w:pPr>
          <w:r/>
          <w:hyperlink w:tooltip="Proposed Solution" w:anchor="__RefHeading___Toc2403_2076133143" w:history="1">
            <w:r>
              <w:rPr>
                <w:rStyle w:val="915"/>
              </w:rPr>
              <w:t xml:space="preserve">Proposed Solution</w:t>
              <w:tab/>
              <w:t xml:space="preserve">13</w:t>
            </w:r>
          </w:hyperlink>
          <w:r/>
          <w:r/>
        </w:p>
        <w:p>
          <w:pPr>
            <w:pStyle w:val="945"/>
            <w:pBdr/>
            <w:tabs>
              <w:tab w:val="clear" w:leader="none" w:pos="8793"/>
              <w:tab w:val="right" w:leader="dot" w:pos="9359"/>
            </w:tabs>
            <w:spacing/>
            <w:ind/>
            <w:rPr/>
          </w:pPr>
          <w:r/>
          <w:hyperlink w:tooltip="Project Management" w:anchor="__RefHeading___Toc2405_2076133143" w:history="1">
            <w:r>
              <w:rPr>
                <w:rStyle w:val="915"/>
              </w:rPr>
              <w:t xml:space="preserve">Project Management</w:t>
              <w:tab/>
              <w:t xml:space="preserve">14</w:t>
            </w:r>
          </w:hyperlink>
          <w:r/>
          <w:r/>
        </w:p>
        <w:p>
          <w:pPr>
            <w:pStyle w:val="945"/>
            <w:pBdr/>
            <w:tabs>
              <w:tab w:val="clear" w:leader="none" w:pos="8793"/>
              <w:tab w:val="right" w:leader="dot" w:pos="9359"/>
            </w:tabs>
            <w:spacing/>
            <w:ind/>
            <w:rPr/>
          </w:pPr>
          <w:r/>
          <w:hyperlink w:tooltip="Risk Management" w:anchor="__RefHeading___Toc2407_2076133143" w:history="1">
            <w:r>
              <w:rPr>
                <w:rStyle w:val="915"/>
              </w:rPr>
              <w:t xml:space="preserve">Risk Management</w:t>
              <w:tab/>
              <w:t xml:space="preserve">15</w:t>
            </w:r>
          </w:hyperlink>
          <w:r/>
          <w:r/>
        </w:p>
        <w:p>
          <w:pPr>
            <w:pStyle w:val="945"/>
            <w:pBdr/>
            <w:tabs>
              <w:tab w:val="clear" w:leader="none" w:pos="8793"/>
              <w:tab w:val="right" w:leader="dot" w:pos="9359"/>
            </w:tabs>
            <w:spacing/>
            <w:ind/>
            <w:rPr/>
          </w:pPr>
          <w:r/>
          <w:hyperlink w:tooltip="Ethical Considerations" w:anchor="__RefHeading___Toc2409_2076133143" w:history="1">
            <w:r>
              <w:rPr>
                <w:rStyle w:val="915"/>
              </w:rPr>
              <w:t xml:space="preserve">Ethical Considerations</w:t>
              <w:tab/>
              <w:t xml:space="preserve">15</w:t>
            </w:r>
          </w:hyperlink>
          <w:r/>
          <w:r/>
        </w:p>
        <w:p>
          <w:pPr>
            <w:pStyle w:val="945"/>
            <w:pBdr/>
            <w:tabs>
              <w:tab w:val="clear" w:leader="none" w:pos="8793"/>
              <w:tab w:val="right" w:leader="dot" w:pos="9359"/>
            </w:tabs>
            <w:spacing/>
            <w:ind/>
            <w:rPr/>
          </w:pPr>
          <w:r/>
          <w:hyperlink w:tooltip="Legal and Regulatory Issues" w:anchor="__RefHeading___Toc2411_2076133143" w:history="1">
            <w:r>
              <w:rPr>
                <w:rStyle w:val="915"/>
              </w:rPr>
              <w:t xml:space="preserve">Legal and Regulatory Issues</w:t>
              <w:tab/>
              <w:t xml:space="preserve">16</w:t>
            </w:r>
          </w:hyperlink>
          <w:r/>
          <w:r/>
        </w:p>
        <w:p>
          <w:pPr>
            <w:pStyle w:val="945"/>
            <w:pBdr/>
            <w:tabs>
              <w:tab w:val="clear" w:leader="none" w:pos="8793"/>
              <w:tab w:val="right" w:leader="dot" w:pos="9359"/>
            </w:tabs>
            <w:spacing/>
            <w:ind/>
            <w:rPr/>
          </w:pPr>
          <w:r/>
          <w:hyperlink w:tooltip="Compliance Approach" w:anchor="__RefHeading___Toc2413_2076133143" w:history="1">
            <w:r>
              <w:rPr>
                <w:rStyle w:val="915"/>
              </w:rPr>
              <w:t xml:space="preserve">Compliance Approach</w:t>
              <w:tab/>
              <w:t xml:space="preserve">16</w:t>
            </w:r>
          </w:hyperlink>
          <w:r/>
          <w:r/>
        </w:p>
        <w:p>
          <w:pPr>
            <w:pStyle w:val="944"/>
            <w:pBdr/>
            <w:tabs>
              <w:tab w:val="clear" w:leader="none" w:pos="9077"/>
              <w:tab w:val="right" w:leader="dot" w:pos="9359"/>
            </w:tabs>
            <w:spacing/>
            <w:ind/>
            <w:rPr/>
          </w:pPr>
          <w:r/>
          <w:hyperlink w:tooltip="Results and Findings" w:anchor="__RefHeading___Toc2415_2076133143" w:history="1">
            <w:r>
              <w:rPr>
                <w:rStyle w:val="915"/>
              </w:rPr>
              <w:t xml:space="preserve">Results and Findings</w:t>
              <w:tab/>
              <w:t xml:space="preserve">16</w:t>
            </w:r>
          </w:hyperlink>
          <w:r/>
          <w:r/>
        </w:p>
        <w:p>
          <w:pPr>
            <w:pStyle w:val="945"/>
            <w:pBdr/>
            <w:tabs>
              <w:tab w:val="clear" w:leader="none" w:pos="8793"/>
              <w:tab w:val="right" w:leader="dot" w:pos="9359"/>
            </w:tabs>
            <w:spacing/>
            <w:ind/>
            <w:rPr/>
          </w:pPr>
          <w:r/>
          <w:hyperlink w:tooltip="Data Collection and Analysis Process" w:anchor="__RefHeading___Toc2417_2076133143" w:history="1">
            <w:r>
              <w:rPr>
                <w:rStyle w:val="915"/>
              </w:rPr>
              <w:t xml:space="preserve">Data Collection and Analysis Process</w:t>
              <w:tab/>
              <w:t xml:space="preserve">16</w:t>
            </w:r>
          </w:hyperlink>
          <w:r/>
          <w:r/>
        </w:p>
        <w:p>
          <w:pPr>
            <w:pStyle w:val="945"/>
            <w:pBdr/>
            <w:tabs>
              <w:tab w:val="clear" w:leader="none" w:pos="8793"/>
              <w:tab w:val="right" w:leader="dot" w:pos="9359"/>
            </w:tabs>
            <w:spacing/>
            <w:ind/>
            <w:rPr/>
          </w:pPr>
          <w:r/>
          <w:hyperlink w:tooltip="Findings" w:anchor="__RefHeading___Toc2419_2076133143" w:history="1">
            <w:r>
              <w:rPr>
                <w:rStyle w:val="915"/>
              </w:rPr>
              <w:t xml:space="preserve">Findings</w:t>
              <w:tab/>
              <w:t xml:space="preserve">16</w:t>
            </w:r>
          </w:hyperlink>
          <w:r/>
          <w:r/>
        </w:p>
        <w:p>
          <w:pPr>
            <w:pStyle w:val="944"/>
            <w:pBdr/>
            <w:tabs>
              <w:tab w:val="clear" w:leader="none" w:pos="9077"/>
              <w:tab w:val="right" w:leader="dot" w:pos="9359"/>
            </w:tabs>
            <w:spacing/>
            <w:ind/>
            <w:rPr/>
          </w:pPr>
          <w:r/>
          <w:hyperlink w:tooltip="Future Recommendations" w:anchor="__RefHeading___Toc2421_2076133143" w:history="1">
            <w:r>
              <w:rPr>
                <w:rStyle w:val="915"/>
              </w:rPr>
              <w:t xml:space="preserve">Future Recommendations</w:t>
              <w:tab/>
              <w:t xml:space="preserve">17</w:t>
            </w:r>
          </w:hyperlink>
          <w:r/>
          <w:r/>
        </w:p>
        <w:p>
          <w:pPr>
            <w:pStyle w:val="944"/>
            <w:pBdr/>
            <w:tabs>
              <w:tab w:val="clear" w:leader="none" w:pos="9077"/>
              <w:tab w:val="right" w:leader="dot" w:pos="9359"/>
            </w:tabs>
            <w:spacing/>
            <w:ind/>
            <w:rPr/>
          </w:pPr>
          <w:r/>
          <w:hyperlink w:tooltip="Discussion and Conclusions" w:anchor="__RefHeading___Toc2423_2076133143" w:history="1">
            <w:r>
              <w:rPr>
                <w:rStyle w:val="915"/>
              </w:rPr>
              <w:t xml:space="preserve">Discussion and Conclusions</w:t>
              <w:tab/>
              <w:t xml:space="preserve">18</w:t>
            </w:r>
          </w:hyperlink>
          <w:r/>
          <w:r/>
        </w:p>
        <w:p>
          <w:pPr>
            <w:pStyle w:val="945"/>
            <w:pBdr/>
            <w:tabs>
              <w:tab w:val="clear" w:leader="none" w:pos="8793"/>
              <w:tab w:val="right" w:leader="dot" w:pos="9359"/>
            </w:tabs>
            <w:spacing/>
            <w:ind/>
            <w:rPr/>
          </w:pPr>
          <w:r/>
          <w:hyperlink w:tooltip="Interpretation of Findings" w:anchor="__RefHeading___Toc2425_2076133143" w:history="1">
            <w:r>
              <w:rPr>
                <w:rStyle w:val="915"/>
              </w:rPr>
              <w:t xml:space="preserve">Interpretation of Findings</w:t>
              <w:tab/>
              <w:t xml:space="preserve">18</w:t>
            </w:r>
          </w:hyperlink>
          <w:r/>
          <w:r/>
        </w:p>
        <w:p>
          <w:pPr>
            <w:pStyle w:val="945"/>
            <w:pBdr/>
            <w:tabs>
              <w:tab w:val="clear" w:leader="none" w:pos="8793"/>
              <w:tab w:val="right" w:leader="dot" w:pos="9359"/>
            </w:tabs>
            <w:spacing/>
            <w:ind/>
            <w:rPr/>
          </w:pPr>
          <w:r/>
          <w:hyperlink w:tooltip="Implications for Cyber Security" w:anchor="__RefHeading___Toc2427_2076133143" w:history="1">
            <w:r>
              <w:rPr>
                <w:rStyle w:val="915"/>
              </w:rPr>
              <w:t xml:space="preserve">Implications for Cyber Security</w:t>
              <w:tab/>
              <w:t xml:space="preserve">18</w:t>
            </w:r>
          </w:hyperlink>
          <w:r/>
          <w:r/>
        </w:p>
        <w:p>
          <w:pPr>
            <w:pStyle w:val="945"/>
            <w:pBdr/>
            <w:tabs>
              <w:tab w:val="clear" w:leader="none" w:pos="8793"/>
              <w:tab w:val="right" w:leader="dot" w:pos="9359"/>
            </w:tabs>
            <w:spacing/>
            <w:ind/>
            <w:rPr/>
          </w:pPr>
          <w:r/>
          <w:hyperlink w:tooltip="Contributions to the Field" w:anchor="__RefHeading___Toc2429_2076133143" w:history="1">
            <w:r>
              <w:rPr>
                <w:rStyle w:val="915"/>
              </w:rPr>
              <w:t xml:space="preserve">Contributions to the Field</w:t>
              <w:tab/>
              <w:t xml:space="preserve">18</w:t>
            </w:r>
          </w:hyperlink>
          <w:r/>
          <w:r/>
        </w:p>
        <w:p>
          <w:pPr>
            <w:pStyle w:val="945"/>
            <w:pBdr/>
            <w:tabs>
              <w:tab w:val="clear" w:leader="none" w:pos="8793"/>
              <w:tab w:val="right" w:leader="dot" w:pos="9359"/>
            </w:tabs>
            <w:spacing/>
            <w:ind/>
            <w:rPr/>
          </w:pPr>
          <w:r/>
          <w:hyperlink w:tooltip="Limitations" w:anchor="__RefHeading___Toc2431_2076133143" w:history="1">
            <w:r>
              <w:rPr>
                <w:rStyle w:val="915"/>
              </w:rPr>
              <w:t xml:space="preserve">Limitations</w:t>
              <w:tab/>
              <w:t xml:space="preserve">18</w:t>
            </w:r>
          </w:hyperlink>
          <w:r/>
          <w:r/>
        </w:p>
        <w:p>
          <w:pPr>
            <w:pStyle w:val="945"/>
            <w:pBdr/>
            <w:tabs>
              <w:tab w:val="clear" w:leader="none" w:pos="8793"/>
              <w:tab w:val="right" w:leader="dot" w:pos="9359"/>
            </w:tabs>
            <w:spacing/>
            <w:ind/>
            <w:rPr/>
          </w:pPr>
          <w:r/>
          <w:hyperlink w:tooltip="Conclusion" w:anchor="__RefHeading___Toc2433_2076133143" w:history="1">
            <w:r>
              <w:rPr>
                <w:rStyle w:val="915"/>
              </w:rPr>
              <w:t xml:space="preserve">Conclusion</w:t>
              <w:tab/>
              <w:t xml:space="preserve">18</w:t>
            </w:r>
          </w:hyperlink>
          <w:r/>
          <w:r/>
        </w:p>
        <w:p>
          <w:pPr>
            <w:pStyle w:val="944"/>
            <w:pBdr/>
            <w:tabs>
              <w:tab w:val="clear" w:leader="none" w:pos="9077"/>
              <w:tab w:val="right" w:leader="dot" w:pos="9359"/>
            </w:tabs>
            <w:spacing/>
            <w:ind/>
            <w:rPr/>
          </w:pPr>
          <w:r/>
          <w:hyperlink w:tooltip="References" w:anchor="__RefHeading___Toc2435_2076133143" w:history="1">
            <w:r>
              <w:rPr>
                <w:rStyle w:val="915"/>
              </w:rPr>
              <w:t xml:space="preserve">References</w:t>
              <w:tab/>
              <w:t xml:space="preserve">19</w:t>
            </w:r>
          </w:hyperlink>
          <w:r/>
          <w:r/>
        </w:p>
        <w:p>
          <w:pPr>
            <w:pStyle w:val="944"/>
            <w:pBdr/>
            <w:tabs>
              <w:tab w:val="clear" w:leader="none" w:pos="9077"/>
              <w:tab w:val="right" w:leader="dot" w:pos="9359"/>
            </w:tabs>
            <w:spacing/>
            <w:ind/>
            <w:rPr/>
          </w:pPr>
          <w:r/>
          <w:hyperlink w:tooltip="Appendix" w:anchor="__RefHeading___Toc2437_2076133143" w:history="1">
            <w:r>
              <w:rPr>
                <w:rStyle w:val="915"/>
              </w:rPr>
              <w:t xml:space="preserve">Appendix</w:t>
              <w:tab/>
              <w:t xml:space="preserve">22</w:t>
            </w:r>
          </w:hyperlink>
          <w:r/>
          <w:r/>
        </w:p>
        <w:p>
          <w:pPr>
            <w:pStyle w:val="945"/>
            <w:pBdr/>
            <w:tabs>
              <w:tab w:val="clear" w:leader="none" w:pos="8793"/>
              <w:tab w:val="right" w:leader="dot" w:pos="9359"/>
            </w:tabs>
            <w:spacing/>
            <w:ind/>
            <w:rPr/>
          </w:pPr>
          <w:r/>
          <w:hyperlink w:tooltip="A. Technical Specifications" w:anchor="__RefHeading___Toc2439_2076133143" w:history="1">
            <w:r>
              <w:rPr>
                <w:rStyle w:val="915"/>
              </w:rPr>
              <w:t xml:space="preserve">A. Technical Specifications</w:t>
              <w:tab/>
              <w:t xml:space="preserve">22</w:t>
            </w:r>
          </w:hyperlink>
          <w:r/>
          <w:r/>
        </w:p>
        <w:p>
          <w:pPr>
            <w:pStyle w:val="945"/>
            <w:pBdr/>
            <w:tabs>
              <w:tab w:val="clear" w:leader="none" w:pos="8793"/>
              <w:tab w:val="right" w:leader="dot" w:pos="9359"/>
            </w:tabs>
            <w:spacing/>
            <w:ind/>
            <w:rPr/>
          </w:pPr>
          <w:r/>
          <w:hyperlink w:tooltip="B. Code Snippets (Representative)" w:anchor="__RefHeading___Toc2441_2076133143" w:history="1">
            <w:r>
              <w:rPr>
                <w:rStyle w:val="915"/>
              </w:rPr>
              <w:t xml:space="preserve">B. Code Snippets (Representative)</w:t>
              <w:tab/>
              <w:t xml:space="preserve">22</w:t>
            </w:r>
          </w:hyperlink>
          <w:r/>
          <w:r/>
        </w:p>
        <w:p>
          <w:pPr>
            <w:pStyle w:val="945"/>
            <w:pBdr/>
            <w:tabs>
              <w:tab w:val="clear" w:leader="none" w:pos="8793"/>
              <w:tab w:val="right" w:leader="dot" w:pos="9359"/>
            </w:tabs>
            <w:spacing/>
            <w:ind/>
            <w:rPr/>
          </w:pPr>
          <w:r/>
          <w:hyperlink w:tooltip="C. SWOT Analysis" w:anchor="__RefHeading___Toc2443_2076133143" w:history="1">
            <w:r>
              <w:rPr>
                <w:rStyle w:val="915"/>
              </w:rPr>
              <w:t xml:space="preserve">C. SWOT Analysis</w:t>
              <w:tab/>
              <w:t xml:space="preserve">23</w:t>
            </w:r>
          </w:hyperlink>
          <w:r/>
          <w:r/>
        </w:p>
        <w:p>
          <w:pPr>
            <w:pStyle w:val="945"/>
            <w:pBdr/>
            <w:tabs>
              <w:tab w:val="clear" w:leader="none" w:pos="8793"/>
              <w:tab w:val="right" w:leader="dot" w:pos="9359"/>
            </w:tabs>
            <w:spacing/>
            <w:ind/>
            <w:rPr/>
          </w:pPr>
          <w:r/>
          <w:hyperlink w:tooltip="D. Glossary" w:anchor="__RefHeading___Toc2445_2076133143" w:history="1">
            <w:r>
              <w:rPr>
                <w:rStyle w:val="915"/>
              </w:rPr>
              <w:t xml:space="preserve">D. Glossary</w:t>
              <w:tab/>
              <w:t xml:space="preserve">23</w:t>
            </w:r>
          </w:hyperlink>
          <w:r/>
          <w:r/>
        </w:p>
        <w:p>
          <w:pPr>
            <w:pStyle w:val="945"/>
            <w:pBdr/>
            <w:tabs>
              <w:tab w:val="clear" w:leader="none" w:pos="8793"/>
              <w:tab w:val="right" w:leader="dot" w:pos="9359"/>
            </w:tabs>
            <w:spacing/>
            <w:ind/>
            <w:rPr/>
          </w:pPr>
          <w:r/>
          <w:hyperlink w:tooltip="E. Other Supporting Information" w:anchor="__RefHeading___Toc2447_2076133143" w:history="1">
            <w:r>
              <w:rPr>
                <w:rStyle w:val="915"/>
              </w:rPr>
              <w:t xml:space="preserve">E. Other Supporting Information</w:t>
              <w:tab/>
              <w:t xml:space="preserve">24</w:t>
            </w:r>
          </w:hyperlink>
          <w:r/>
          <w:r/>
        </w:p>
        <w:p>
          <w:pPr>
            <w:pStyle w:val="945"/>
            <w:pBdr/>
            <w:tabs>
              <w:tab w:val="clear" w:leader="none" w:pos="8793"/>
              <w:tab w:val="right" w:leader="dot" w:pos="9359"/>
            </w:tabs>
            <w:spacing/>
            <w:ind/>
            <w:rPr/>
          </w:pPr>
          <w:r/>
          <w:hyperlink w:tooltip="F. Extended Threat Model and Adversary Analysis" w:anchor="__RefHeading___Toc2449_2076133143" w:history="1">
            <w:r>
              <w:rPr>
                <w:rStyle w:val="915"/>
              </w:rPr>
              <w:t xml:space="preserve">F. Extended Threat Model and Adversary Analysis</w:t>
              <w:tab/>
              <w:t xml:space="preserve">24</w:t>
            </w:r>
          </w:hyperlink>
          <w:r/>
          <w:r/>
        </w:p>
        <w:p>
          <w:pPr>
            <w:pStyle w:val="946"/>
            <w:pBdr/>
            <w:tabs>
              <w:tab w:val="clear" w:leader="none" w:pos="8510"/>
              <w:tab w:val="right" w:leader="dot" w:pos="9359"/>
            </w:tabs>
            <w:spacing/>
            <w:ind/>
            <w:rPr/>
          </w:pPr>
          <w:r/>
          <w:hyperlink w:tooltip="Threat landscape context" w:anchor="__RefHeading___Toc2451_2076133143" w:history="1">
            <w:r>
              <w:rPr>
                <w:rStyle w:val="915"/>
              </w:rPr>
              <w:t xml:space="preserve">Threat landscape context</w:t>
              <w:tab/>
              <w:t xml:space="preserve">25</w:t>
            </w:r>
          </w:hyperlink>
          <w:r/>
          <w:r/>
        </w:p>
        <w:p>
          <w:pPr>
            <w:pStyle w:val="946"/>
            <w:pBdr/>
            <w:tabs>
              <w:tab w:val="clear" w:leader="none" w:pos="8510"/>
              <w:tab w:val="right" w:leader="dot" w:pos="9359"/>
            </w:tabs>
            <w:spacing/>
            <w:ind/>
            <w:rPr/>
          </w:pPr>
          <w:r/>
          <w:hyperlink w:tooltip="Assets and security objectives" w:anchor="__RefHeading___Toc2453_2076133143" w:history="1">
            <w:r>
              <w:rPr>
                <w:rStyle w:val="915"/>
              </w:rPr>
              <w:t xml:space="preserve">Assets and security objectives</w:t>
              <w:tab/>
              <w:t xml:space="preserve">25</w:t>
            </w:r>
          </w:hyperlink>
          <w:r/>
          <w:r/>
        </w:p>
        <w:p>
          <w:pPr>
            <w:pStyle w:val="946"/>
            <w:pBdr/>
            <w:tabs>
              <w:tab w:val="clear" w:leader="none" w:pos="8510"/>
              <w:tab w:val="right" w:leader="dot" w:pos="9359"/>
            </w:tabs>
            <w:spacing/>
            <w:ind/>
            <w:rPr/>
          </w:pPr>
          <w:r/>
          <w:hyperlink w:tooltip="Adversary profiles" w:anchor="__RefHeading___Toc2455_2076133143" w:history="1">
            <w:r>
              <w:rPr>
                <w:rStyle w:val="915"/>
              </w:rPr>
              <w:t xml:space="preserve">Adversary profiles</w:t>
              <w:tab/>
              <w:t xml:space="preserve">26</w:t>
            </w:r>
          </w:hyperlink>
          <w:r/>
          <w:r/>
        </w:p>
        <w:p>
          <w:pPr>
            <w:pStyle w:val="946"/>
            <w:pBdr/>
            <w:tabs>
              <w:tab w:val="clear" w:leader="none" w:pos="8510"/>
              <w:tab w:val="right" w:leader="dot" w:pos="9359"/>
            </w:tabs>
            <w:spacing/>
            <w:ind/>
            <w:rPr/>
          </w:pPr>
          <w:r/>
          <w:hyperlink w:tooltip="Attack paths and abuse cases" w:anchor="__RefHeading___Toc2457_2076133143" w:history="1">
            <w:r>
              <w:rPr>
                <w:rStyle w:val="915"/>
              </w:rPr>
              <w:t xml:space="preserve">Attack paths and abuse cases</w:t>
              <w:tab/>
              <w:t xml:space="preserve">26</w:t>
            </w:r>
          </w:hyperlink>
          <w:r/>
          <w:r/>
        </w:p>
        <w:p>
          <w:pPr>
            <w:pStyle w:val="946"/>
            <w:pBdr/>
            <w:tabs>
              <w:tab w:val="clear" w:leader="none" w:pos="8510"/>
              <w:tab w:val="right" w:leader="dot" w:pos="9359"/>
            </w:tabs>
            <w:spacing/>
            <w:ind/>
            <w:rPr/>
          </w:pPr>
          <w:r/>
          <w:hyperlink w:tooltip="STRIDE-style analysis for clipboard pipeline" w:anchor="__RefHeading___Toc2459_2076133143" w:history="1">
            <w:r>
              <w:rPr>
                <w:rStyle w:val="915"/>
              </w:rPr>
              <w:t xml:space="preserve">STRIDE-style analysis for clipboard pipeline</w:t>
              <w:tab/>
              <w:t xml:space="preserve">27</w:t>
            </w:r>
          </w:hyperlink>
          <w:r/>
          <w:r/>
        </w:p>
        <w:p>
          <w:pPr>
            <w:pStyle w:val="946"/>
            <w:pBdr/>
            <w:tabs>
              <w:tab w:val="clear" w:leader="none" w:pos="8510"/>
              <w:tab w:val="right" w:leader="dot" w:pos="9359"/>
            </w:tabs>
            <w:spacing/>
            <w:ind/>
            <w:rPr/>
          </w:pPr>
          <w:r/>
          <w:hyperlink w:tooltip="Risk appetite and response philosophy" w:anchor="__RefHeading___Toc2461_2076133143" w:history="1">
            <w:r>
              <w:rPr>
                <w:rStyle w:val="915"/>
              </w:rPr>
              <w:t xml:space="preserve">Risk appetite and response philosophy</w:t>
              <w:tab/>
              <w:t xml:space="preserve">27</w:t>
            </w:r>
          </w:hyperlink>
          <w:r/>
          <w:r/>
        </w:p>
        <w:p>
          <w:pPr>
            <w:pStyle w:val="946"/>
            <w:pBdr/>
            <w:tabs>
              <w:tab w:val="clear" w:leader="none" w:pos="8510"/>
              <w:tab w:val="right" w:leader="dot" w:pos="9359"/>
            </w:tabs>
            <w:spacing/>
            <w:ind/>
            <w:rPr/>
          </w:pPr>
          <w:r/>
          <w:hyperlink w:tooltip="Defender observability model" w:anchor="__RefHeading___Toc2463_2076133143" w:history="1">
            <w:r>
              <w:rPr>
                <w:rStyle w:val="915"/>
              </w:rPr>
              <w:t xml:space="preserve">Defender observability model</w:t>
              <w:tab/>
              <w:t xml:space="preserve">28</w:t>
            </w:r>
          </w:hyperlink>
          <w:r/>
          <w:r/>
        </w:p>
        <w:p>
          <w:pPr>
            <w:pStyle w:val="946"/>
            <w:pBdr/>
            <w:tabs>
              <w:tab w:val="clear" w:leader="none" w:pos="8510"/>
              <w:tab w:val="right" w:leader="dot" w:pos="9359"/>
            </w:tabs>
            <w:spacing/>
            <w:ind/>
            <w:rPr/>
          </w:pPr>
          <w:r/>
          <w:hyperlink w:tooltip="Summary" w:anchor="__RefHeading___Toc2465_2076133143" w:history="1">
            <w:r>
              <w:rPr>
                <w:rStyle w:val="915"/>
              </w:rPr>
              <w:t xml:space="preserve">Summary</w:t>
              <w:tab/>
              <w:t xml:space="preserve">28</w:t>
            </w:r>
          </w:hyperlink>
          <w:r/>
          <w:r/>
        </w:p>
        <w:p>
          <w:pPr>
            <w:pStyle w:val="945"/>
            <w:pBdr/>
            <w:tabs>
              <w:tab w:val="clear" w:leader="none" w:pos="8793"/>
              <w:tab w:val="right" w:leader="dot" w:pos="9359"/>
            </w:tabs>
            <w:spacing/>
            <w:ind/>
            <w:rPr/>
          </w:pPr>
          <w:r/>
          <w:hyperlink w:tooltip="G. Expanded Architecture and Implementation Walkthrough" w:anchor="__RefHeading___Toc2467_2076133143" w:history="1">
            <w:r>
              <w:rPr>
                <w:rStyle w:val="915"/>
              </w:rPr>
              <w:t xml:space="preserve">G. Expanded Architecture and Implementation Walkthrough</w:t>
              <w:tab/>
              <w:t xml:space="preserve">28</w:t>
            </w:r>
          </w:hyperlink>
          <w:r/>
          <w:r/>
        </w:p>
        <w:p>
          <w:pPr>
            <w:pStyle w:val="946"/>
            <w:pBdr/>
            <w:tabs>
              <w:tab w:val="clear" w:leader="none" w:pos="8510"/>
              <w:tab w:val="right" w:leader="dot" w:pos="9359"/>
            </w:tabs>
            <w:spacing/>
            <w:ind/>
            <w:rPr/>
          </w:pPr>
          <w:r/>
          <w:hyperlink w:tooltip="Architectural principles" w:anchor="__RefHeading___Toc2469_2076133143" w:history="1">
            <w:r>
              <w:rPr>
                <w:rStyle w:val="915"/>
              </w:rPr>
              <w:t xml:space="preserve">Architectural principles</w:t>
              <w:tab/>
              <w:t xml:space="preserve">28</w:t>
            </w:r>
          </w:hyperlink>
          <w:r/>
          <w:r/>
        </w:p>
        <w:p>
          <w:pPr>
            <w:pStyle w:val="946"/>
            <w:pBdr/>
            <w:tabs>
              <w:tab w:val="clear" w:leader="none" w:pos="8510"/>
              <w:tab w:val="right" w:leader="dot" w:pos="9359"/>
            </w:tabs>
            <w:spacing/>
            <w:ind/>
            <w:rPr/>
          </w:pPr>
          <w:r/>
          <w:hyperlink w:tooltip="Component responsibilities" w:anchor="__RefHeading___Toc2471_2076133143" w:history="1">
            <w:r>
              <w:rPr>
                <w:rStyle w:val="915"/>
              </w:rPr>
              <w:t xml:space="preserve">Component responsibilities</w:t>
              <w:tab/>
              <w:t xml:space="preserve">28</w:t>
            </w:r>
          </w:hyperlink>
          <w:r/>
          <w:r/>
        </w:p>
        <w:p>
          <w:pPr>
            <w:pStyle w:val="946"/>
            <w:pBdr/>
            <w:tabs>
              <w:tab w:val="clear" w:leader="none" w:pos="8510"/>
              <w:tab w:val="right" w:leader="dot" w:pos="9359"/>
            </w:tabs>
            <w:spacing/>
            <w:ind/>
            <w:rPr/>
          </w:pPr>
          <w:r/>
          <w:hyperlink w:tooltip="Data flow details" w:anchor="__RefHeading___Toc2473_2076133143" w:history="1">
            <w:r>
              <w:rPr>
                <w:rStyle w:val="915"/>
              </w:rPr>
              <w:t xml:space="preserve">Data flow details</w:t>
              <w:tab/>
              <w:t xml:space="preserve">29</w:t>
            </w:r>
          </w:hyperlink>
          <w:r/>
          <w:r/>
        </w:p>
        <w:p>
          <w:pPr>
            <w:pStyle w:val="946"/>
            <w:pBdr/>
            <w:tabs>
              <w:tab w:val="clear" w:leader="none" w:pos="8510"/>
              <w:tab w:val="right" w:leader="dot" w:pos="9359"/>
            </w:tabs>
            <w:spacing/>
            <w:ind/>
            <w:rPr/>
          </w:pPr>
          <w:r/>
          <w:hyperlink w:tooltip="Error handling strategy" w:anchor="__RefHeading___Toc2475_2076133143" w:history="1">
            <w:r>
              <w:rPr>
                <w:rStyle w:val="915"/>
              </w:rPr>
              <w:t xml:space="preserve">Error handling strategy</w:t>
              <w:tab/>
              <w:t xml:space="preserve">29</w:t>
            </w:r>
          </w:hyperlink>
          <w:r/>
          <w:r/>
        </w:p>
        <w:p>
          <w:pPr>
            <w:pStyle w:val="946"/>
            <w:pBdr/>
            <w:tabs>
              <w:tab w:val="clear" w:leader="none" w:pos="8510"/>
              <w:tab w:val="right" w:leader="dot" w:pos="9359"/>
            </w:tabs>
            <w:spacing/>
            <w:ind/>
            <w:rPr/>
          </w:pPr>
          <w:r/>
          <w:hyperlink w:tooltip="Detection engineering rationale" w:anchor="__RefHeading___Toc2477_2076133143" w:history="1">
            <w:r>
              <w:rPr>
                <w:rStyle w:val="915"/>
              </w:rPr>
              <w:t xml:space="preserve">Detection engineering rationale</w:t>
              <w:tab/>
              <w:t xml:space="preserve">30</w:t>
            </w:r>
          </w:hyperlink>
          <w:r/>
          <w:r/>
        </w:p>
        <w:p>
          <w:pPr>
            <w:pStyle w:val="946"/>
            <w:pBdr/>
            <w:tabs>
              <w:tab w:val="clear" w:leader="none" w:pos="8510"/>
              <w:tab w:val="right" w:leader="dot" w:pos="9359"/>
            </w:tabs>
            <w:spacing/>
            <w:ind/>
            <w:rPr/>
          </w:pPr>
          <w:r/>
          <w:hyperlink w:tooltip="User experience considerations" w:anchor="__RefHeading___Toc2479_2076133143" w:history="1">
            <w:r>
              <w:rPr>
                <w:rStyle w:val="915"/>
              </w:rPr>
              <w:t xml:space="preserve">User experience considerations</w:t>
              <w:tab/>
              <w:t xml:space="preserve">30</w:t>
            </w:r>
          </w:hyperlink>
          <w:r/>
          <w:r/>
        </w:p>
        <w:p>
          <w:pPr>
            <w:pStyle w:val="946"/>
            <w:pBdr/>
            <w:tabs>
              <w:tab w:val="clear" w:leader="none" w:pos="8510"/>
              <w:tab w:val="right" w:leader="dot" w:pos="9359"/>
            </w:tabs>
            <w:spacing/>
            <w:ind/>
            <w:rPr/>
          </w:pPr>
          <w:r/>
          <w:hyperlink w:tooltip="Persistence and privacy trade-off" w:anchor="__RefHeading___Toc2481_2076133143" w:history="1">
            <w:r>
              <w:rPr>
                <w:rStyle w:val="915"/>
              </w:rPr>
              <w:t xml:space="preserve">Persistence and privacy trade-off</w:t>
              <w:tab/>
              <w:t xml:space="preserve">30</w:t>
            </w:r>
          </w:hyperlink>
          <w:r/>
          <w:r/>
        </w:p>
        <w:p>
          <w:pPr>
            <w:pStyle w:val="946"/>
            <w:pBdr/>
            <w:tabs>
              <w:tab w:val="clear" w:leader="none" w:pos="8510"/>
              <w:tab w:val="right" w:leader="dot" w:pos="9359"/>
            </w:tabs>
            <w:spacing/>
            <w:ind/>
            <w:rPr/>
          </w:pPr>
          <w:r/>
          <w:hyperlink w:tooltip="Performance considerations" w:anchor="__RefHeading___Toc2483_2076133143" w:history="1">
            <w:r>
              <w:rPr>
                <w:rStyle w:val="915"/>
              </w:rPr>
              <w:t xml:space="preserve">Performance considerations</w:t>
              <w:tab/>
              <w:t xml:space="preserve">31</w:t>
            </w:r>
          </w:hyperlink>
          <w:r/>
          <w:r/>
        </w:p>
        <w:p>
          <w:pPr>
            <w:pStyle w:val="946"/>
            <w:pBdr/>
            <w:tabs>
              <w:tab w:val="clear" w:leader="none" w:pos="8510"/>
              <w:tab w:val="right" w:leader="dot" w:pos="9359"/>
            </w:tabs>
            <w:spacing/>
            <w:ind/>
            <w:rPr/>
          </w:pPr>
          <w:r/>
          <w:hyperlink w:tooltip="Maintainability and testability" w:anchor="__RefHeading___Toc2485_2076133143" w:history="1">
            <w:r>
              <w:rPr>
                <w:rStyle w:val="915"/>
              </w:rPr>
              <w:t xml:space="preserve">Maintainability and testability</w:t>
              <w:tab/>
              <w:t xml:space="preserve">31</w:t>
            </w:r>
          </w:hyperlink>
          <w:r/>
          <w:r/>
        </w:p>
        <w:p>
          <w:pPr>
            <w:pStyle w:val="946"/>
            <w:pBdr/>
            <w:tabs>
              <w:tab w:val="clear" w:leader="none" w:pos="8510"/>
              <w:tab w:val="right" w:leader="dot" w:pos="9359"/>
            </w:tabs>
            <w:spacing/>
            <w:ind/>
            <w:rPr/>
          </w:pPr>
          <w:r/>
          <w:hyperlink w:tooltip="Summary" w:anchor="__RefHeading___Toc2487_2076133143" w:history="1">
            <w:r>
              <w:rPr>
                <w:rStyle w:val="915"/>
              </w:rPr>
              <w:t xml:space="preserve">Summary</w:t>
              <w:tab/>
              <w:t xml:space="preserve">31</w:t>
            </w:r>
          </w:hyperlink>
          <w:r/>
          <w:r/>
        </w:p>
        <w:p>
          <w:pPr>
            <w:pStyle w:val="945"/>
            <w:pBdr/>
            <w:tabs>
              <w:tab w:val="clear" w:leader="none" w:pos="8793"/>
              <w:tab w:val="right" w:leader="dot" w:pos="9359"/>
            </w:tabs>
            <w:spacing/>
            <w:ind/>
            <w:rPr/>
          </w:pPr>
          <w:r/>
          <w:hyperlink w:tooltip="H. Extended Literature Synthesis and Critical Review" w:anchor="__RefHeading___Toc2489_2076133143" w:history="1">
            <w:r>
              <w:rPr>
                <w:rStyle w:val="915"/>
              </w:rPr>
              <w:t xml:space="preserve">H. Extended Literature Synthesis and Critical Review</w:t>
              <w:tab/>
              <w:t xml:space="preserve">31</w:t>
            </w:r>
          </w:hyperlink>
          <w:r/>
          <w:r/>
        </w:p>
        <w:p>
          <w:pPr>
            <w:pStyle w:val="946"/>
            <w:pBdr/>
            <w:tabs>
              <w:tab w:val="clear" w:leader="none" w:pos="8510"/>
              <w:tab w:val="right" w:leader="dot" w:pos="9359"/>
            </w:tabs>
            <w:spacing/>
            <w:ind/>
            <w:rPr/>
          </w:pPr>
          <w:r/>
          <w:hyperlink w:tooltip="Why endpoint micro-channels matter" w:anchor="__RefHeading___Toc2491_2076133143" w:history="1">
            <w:r>
              <w:rPr>
                <w:rStyle w:val="915"/>
              </w:rPr>
              <w:t xml:space="preserve">Why endpoint micro-channels matter</w:t>
              <w:tab/>
              <w:t xml:space="preserve">31</w:t>
            </w:r>
          </w:hyperlink>
          <w:r/>
          <w:r/>
        </w:p>
        <w:p>
          <w:pPr>
            <w:pStyle w:val="946"/>
            <w:pBdr/>
            <w:tabs>
              <w:tab w:val="clear" w:leader="none" w:pos="8510"/>
              <w:tab w:val="right" w:leader="dot" w:pos="9359"/>
            </w:tabs>
            <w:spacing/>
            <w:ind/>
            <w:rPr/>
          </w:pPr>
          <w:r/>
          <w:hyperlink w:tooltip="Positioning within DLP research" w:anchor="__RefHeading___Toc2493_2076133143" w:history="1">
            <w:r>
              <w:rPr>
                <w:rStyle w:val="915"/>
              </w:rPr>
              <w:t xml:space="preserve">Positioning within DLP research</w:t>
              <w:tab/>
              <w:t xml:space="preserve">32</w:t>
            </w:r>
          </w:hyperlink>
          <w:r/>
          <w:r/>
        </w:p>
        <w:p>
          <w:pPr>
            <w:pStyle w:val="946"/>
            <w:pBdr/>
            <w:tabs>
              <w:tab w:val="clear" w:leader="none" w:pos="8510"/>
              <w:tab w:val="right" w:leader="dot" w:pos="9359"/>
            </w:tabs>
            <w:spacing/>
            <w:ind/>
            <w:rPr/>
          </w:pPr>
          <w:r/>
          <w:hyperlink w:tooltip="Standards interpretation for this project" w:anchor="__RefHeading___Toc2495_2076133143" w:history="1">
            <w:r>
              <w:rPr>
                <w:rStyle w:val="915"/>
              </w:rPr>
              <w:t xml:space="preserve">Standards interpretation for this project</w:t>
              <w:tab/>
              <w:t xml:space="preserve">32</w:t>
            </w:r>
          </w:hyperlink>
          <w:r/>
          <w:r/>
        </w:p>
        <w:p>
          <w:pPr>
            <w:pStyle w:val="946"/>
            <w:pBdr/>
            <w:tabs>
              <w:tab w:val="clear" w:leader="none" w:pos="8510"/>
              <w:tab w:val="right" w:leader="dot" w:pos="9359"/>
            </w:tabs>
            <w:spacing/>
            <w:ind/>
            <w:rPr/>
          </w:pPr>
          <w:r/>
          <w:hyperlink w:tooltip="Evidence quality and practical constraints" w:anchor="__RefHeading___Toc2497_2076133143" w:history="1">
            <w:r>
              <w:rPr>
                <w:rStyle w:val="915"/>
              </w:rPr>
              <w:t xml:space="preserve">Evidence quality and practical constraints</w:t>
              <w:tab/>
              <w:t xml:space="preserve">32</w:t>
            </w:r>
          </w:hyperlink>
          <w:r/>
          <w:r/>
        </w:p>
        <w:p>
          <w:pPr>
            <w:pStyle w:val="946"/>
            <w:pBdr/>
            <w:tabs>
              <w:tab w:val="clear" w:leader="none" w:pos="8510"/>
              <w:tab w:val="right" w:leader="dot" w:pos="9359"/>
            </w:tabs>
            <w:spacing/>
            <w:ind/>
            <w:rPr/>
          </w:pPr>
          <w:r/>
          <w:hyperlink w:tooltip="Critique of signature-centric controls" w:anchor="__RefHeading___Toc2499_2076133143" w:history="1">
            <w:r>
              <w:rPr>
                <w:rStyle w:val="915"/>
              </w:rPr>
              <w:t xml:space="preserve">Critique of signature-centric controls</w:t>
              <w:tab/>
              <w:t xml:space="preserve">32</w:t>
            </w:r>
          </w:hyperlink>
          <w:r/>
          <w:r/>
        </w:p>
        <w:p>
          <w:pPr>
            <w:pStyle w:val="946"/>
            <w:pBdr/>
            <w:tabs>
              <w:tab w:val="clear" w:leader="none" w:pos="8510"/>
              <w:tab w:val="right" w:leader="dot" w:pos="9359"/>
            </w:tabs>
            <w:spacing/>
            <w:ind/>
            <w:rPr/>
          </w:pPr>
          <w:r/>
          <w:hyperlink w:tooltip="Human factors and alert design" w:anchor="__RefHeading___Toc2501_2076133143" w:history="1">
            <w:r>
              <w:rPr>
                <w:rStyle w:val="915"/>
              </w:rPr>
              <w:t xml:space="preserve">Human factors and alert design</w:t>
              <w:tab/>
              <w:t xml:space="preserve">33</w:t>
            </w:r>
          </w:hyperlink>
          <w:r/>
          <w:r/>
        </w:p>
        <w:p>
          <w:pPr>
            <w:pStyle w:val="946"/>
            <w:pBdr/>
            <w:tabs>
              <w:tab w:val="clear" w:leader="none" w:pos="8510"/>
              <w:tab w:val="right" w:leader="dot" w:pos="9359"/>
            </w:tabs>
            <w:spacing/>
            <w:ind/>
            <w:rPr/>
          </w:pPr>
          <w:r/>
          <w:hyperlink w:tooltip="Organizational adoption considerations" w:anchor="__RefHeading___Toc2503_2076133143" w:history="1">
            <w:r>
              <w:rPr>
                <w:rStyle w:val="915"/>
              </w:rPr>
              <w:t xml:space="preserve">Organizational adoption considerations</w:t>
              <w:tab/>
              <w:t xml:space="preserve">33</w:t>
            </w:r>
          </w:hyperlink>
          <w:r/>
          <w:r/>
        </w:p>
        <w:p>
          <w:pPr>
            <w:pStyle w:val="946"/>
            <w:pBdr/>
            <w:tabs>
              <w:tab w:val="clear" w:leader="none" w:pos="8510"/>
              <w:tab w:val="right" w:leader="dot" w:pos="9359"/>
            </w:tabs>
            <w:spacing/>
            <w:ind/>
            <w:rPr/>
          </w:pPr>
          <w:r/>
          <w:hyperlink w:tooltip="Research gap synthesis" w:anchor="__RefHeading___Toc2505_2076133143" w:history="1">
            <w:r>
              <w:rPr>
                <w:rStyle w:val="915"/>
              </w:rPr>
              <w:t xml:space="preserve">Research gap synthesis</w:t>
              <w:tab/>
              <w:t xml:space="preserve">33</w:t>
            </w:r>
          </w:hyperlink>
          <w:r/>
          <w:r/>
        </w:p>
        <w:p>
          <w:pPr>
            <w:pStyle w:val="945"/>
            <w:pBdr/>
            <w:tabs>
              <w:tab w:val="clear" w:leader="none" w:pos="8793"/>
              <w:tab w:val="right" w:leader="dot" w:pos="9359"/>
            </w:tabs>
            <w:spacing/>
            <w:ind/>
            <w:rPr/>
          </w:pPr>
          <w:r/>
          <w:hyperlink w:tooltip="I. Detailed Evaluation Framework, Metrics, and Interpretation" w:anchor="__RefHeading___Toc2507_2076133143" w:history="1">
            <w:r>
              <w:rPr>
                <w:rStyle w:val="915"/>
              </w:rPr>
              <w:t xml:space="preserve">I. Detailed Evaluation Framework, Metrics, and Interpretation</w:t>
              <w:tab/>
              <w:t xml:space="preserve">33</w:t>
            </w:r>
          </w:hyperlink>
          <w:r/>
          <w:r/>
        </w:p>
        <w:p>
          <w:pPr>
            <w:pStyle w:val="946"/>
            <w:pBdr/>
            <w:tabs>
              <w:tab w:val="clear" w:leader="none" w:pos="8510"/>
              <w:tab w:val="right" w:leader="dot" w:pos="9359"/>
            </w:tabs>
            <w:spacing/>
            <w:ind/>
            <w:rPr/>
          </w:pPr>
          <w:r/>
          <w:hyperlink w:tooltip="Evaluation goals" w:anchor="__RefHeading___Toc2509_2076133143" w:history="1">
            <w:r>
              <w:rPr>
                <w:rStyle w:val="915"/>
              </w:rPr>
              <w:t xml:space="preserve">Evaluation goals</w:t>
              <w:tab/>
              <w:t xml:space="preserve">33</w:t>
            </w:r>
          </w:hyperlink>
          <w:r/>
          <w:r/>
        </w:p>
        <w:p>
          <w:pPr>
            <w:pStyle w:val="946"/>
            <w:pBdr/>
            <w:tabs>
              <w:tab w:val="clear" w:leader="none" w:pos="8510"/>
              <w:tab w:val="right" w:leader="dot" w:pos="9359"/>
            </w:tabs>
            <w:spacing/>
            <w:ind/>
            <w:rPr/>
          </w:pPr>
          <w:r/>
          <w:hyperlink w:tooltip="Test layers" w:anchor="__RefHeading___Toc2511_2076133143" w:history="1">
            <w:r>
              <w:rPr>
                <w:rStyle w:val="915"/>
              </w:rPr>
              <w:t xml:space="preserve">Test layers</w:t>
              <w:tab/>
              <w:t xml:space="preserve">34</w:t>
            </w:r>
          </w:hyperlink>
          <w:r/>
          <w:r/>
        </w:p>
        <w:p>
          <w:pPr>
            <w:pStyle w:val="946"/>
            <w:pBdr/>
            <w:tabs>
              <w:tab w:val="clear" w:leader="none" w:pos="8510"/>
              <w:tab w:val="right" w:leader="dot" w:pos="9359"/>
            </w:tabs>
            <w:spacing/>
            <w:ind/>
            <w:rPr/>
          </w:pPr>
          <w:r/>
          <w:hyperlink w:tooltip="Suggested quantitative metrics for next phase" w:anchor="__RefHeading___Toc2513_2076133143" w:history="1">
            <w:r>
              <w:rPr>
                <w:rStyle w:val="915"/>
              </w:rPr>
              <w:t xml:space="preserve">Suggested quantitative metrics for next phase</w:t>
              <w:tab/>
              <w:t xml:space="preserve">34</w:t>
            </w:r>
          </w:hyperlink>
          <w:r/>
          <w:r/>
        </w:p>
        <w:p>
          <w:pPr>
            <w:pStyle w:val="946"/>
            <w:pBdr/>
            <w:tabs>
              <w:tab w:val="clear" w:leader="none" w:pos="8510"/>
              <w:tab w:val="right" w:leader="dot" w:pos="9359"/>
            </w:tabs>
            <w:spacing/>
            <w:ind/>
            <w:rPr/>
          </w:pPr>
          <w:r/>
          <w:hyperlink w:tooltip="Current evidence interpretation" w:anchor="__RefHeading___Toc2515_2076133143" w:history="1">
            <w:r>
              <w:rPr>
                <w:rStyle w:val="915"/>
              </w:rPr>
              <w:t xml:space="preserve">Current evidence interpretation</w:t>
              <w:tab/>
              <w:t xml:space="preserve">35</w:t>
            </w:r>
          </w:hyperlink>
          <w:r/>
          <w:r/>
        </w:p>
        <w:p>
          <w:pPr>
            <w:pStyle w:val="946"/>
            <w:pBdr/>
            <w:tabs>
              <w:tab w:val="clear" w:leader="none" w:pos="8510"/>
              <w:tab w:val="right" w:leader="dot" w:pos="9359"/>
            </w:tabs>
            <w:spacing/>
            <w:ind/>
            <w:rPr/>
          </w:pPr>
          <w:r/>
          <w:hyperlink w:tooltip="Threat-informed scenario evaluation" w:anchor="__RefHeading___Toc2517_2076133143" w:history="1">
            <w:r>
              <w:rPr>
                <w:rStyle w:val="915"/>
              </w:rPr>
              <w:t xml:space="preserve">Threat-informed scenario evaluation</w:t>
              <w:tab/>
              <w:t xml:space="preserve">35</w:t>
            </w:r>
          </w:hyperlink>
          <w:r/>
          <w:r/>
        </w:p>
        <w:p>
          <w:pPr>
            <w:pStyle w:val="946"/>
            <w:pBdr/>
            <w:tabs>
              <w:tab w:val="clear" w:leader="none" w:pos="8510"/>
              <w:tab w:val="right" w:leader="dot" w:pos="9359"/>
            </w:tabs>
            <w:spacing/>
            <w:ind/>
            <w:rPr/>
          </w:pPr>
          <w:r/>
          <w:hyperlink w:tooltip="Limitations of current evaluation" w:anchor="__RefHeading___Toc2519_2076133143" w:history="1">
            <w:r>
              <w:rPr>
                <w:rStyle w:val="915"/>
              </w:rPr>
              <w:t xml:space="preserve">Limitations of current evaluation</w:t>
              <w:tab/>
              <w:t xml:space="preserve">35</w:t>
            </w:r>
          </w:hyperlink>
          <w:r/>
          <w:r/>
        </w:p>
        <w:p>
          <w:pPr>
            <w:pStyle w:val="946"/>
            <w:pBdr/>
            <w:tabs>
              <w:tab w:val="clear" w:leader="none" w:pos="8510"/>
              <w:tab w:val="right" w:leader="dot" w:pos="9359"/>
            </w:tabs>
            <w:spacing/>
            <w:ind/>
            <w:rPr/>
          </w:pPr>
          <w:r/>
          <w:hyperlink w:tooltip="Evaluation maturity roadmap" w:anchor="__RefHeading___Toc2521_2076133143" w:history="1">
            <w:r>
              <w:rPr>
                <w:rStyle w:val="915"/>
              </w:rPr>
              <w:t xml:space="preserve">Evaluation maturity roadmap</w:t>
              <w:tab/>
              <w:t xml:space="preserve">35</w:t>
            </w:r>
          </w:hyperlink>
          <w:r/>
          <w:r/>
        </w:p>
        <w:p>
          <w:pPr>
            <w:pStyle w:val="945"/>
            <w:pBdr/>
            <w:tabs>
              <w:tab w:val="clear" w:leader="none" w:pos="8793"/>
              <w:tab w:val="right" w:leader="dot" w:pos="9359"/>
            </w:tabs>
            <w:spacing/>
            <w:ind/>
            <w:rPr/>
          </w:pPr>
          <w:r/>
          <w:hyperlink w:tooltip="J. Compliance and Control Mapping Matrix" w:anchor="__RefHeading___Toc2523_2076133143" w:history="1">
            <w:r>
              <w:rPr>
                <w:rStyle w:val="915"/>
              </w:rPr>
              <w:t xml:space="preserve">J. Compliance and Control Mapping Matrix</w:t>
              <w:tab/>
              <w:t xml:space="preserve">36</w:t>
            </w:r>
          </w:hyperlink>
          <w:r/>
          <w:r/>
        </w:p>
        <w:p>
          <w:pPr>
            <w:pStyle w:val="946"/>
            <w:pBdr/>
            <w:tabs>
              <w:tab w:val="clear" w:leader="none" w:pos="8510"/>
              <w:tab w:val="right" w:leader="dot" w:pos="9359"/>
            </w:tabs>
            <w:spacing/>
            <w:ind/>
            <w:rPr/>
          </w:pPr>
          <w:r/>
          <w:hyperlink w:tooltip="ISO/IEC 27001 alignment examples" w:anchor="__RefHeading___Toc2525_2076133143" w:history="1">
            <w:r>
              <w:rPr>
                <w:rStyle w:val="915"/>
              </w:rPr>
              <w:t xml:space="preserve">ISO/IEC 27001 alignment examples</w:t>
              <w:tab/>
              <w:t xml:space="preserve">36</w:t>
            </w:r>
          </w:hyperlink>
          <w:r/>
          <w:r/>
        </w:p>
        <w:p>
          <w:pPr>
            <w:pStyle w:val="946"/>
            <w:pBdr/>
            <w:tabs>
              <w:tab w:val="clear" w:leader="none" w:pos="8510"/>
              <w:tab w:val="right" w:leader="dot" w:pos="9359"/>
            </w:tabs>
            <w:spacing/>
            <w:ind/>
            <w:rPr/>
          </w:pPr>
          <w:r/>
          <w:hyperlink w:tooltip="NIST CSF mapping examples" w:anchor="__RefHeading___Toc2527_2076133143" w:history="1">
            <w:r>
              <w:rPr>
                <w:rStyle w:val="915"/>
              </w:rPr>
              <w:t xml:space="preserve">NIST CSF mapping examples</w:t>
              <w:tab/>
              <w:t xml:space="preserve">36</w:t>
            </w:r>
          </w:hyperlink>
          <w:r/>
          <w:r/>
        </w:p>
        <w:p>
          <w:pPr>
            <w:pStyle w:val="946"/>
            <w:pBdr/>
            <w:tabs>
              <w:tab w:val="clear" w:leader="none" w:pos="8510"/>
              <w:tab w:val="right" w:leader="dot" w:pos="9359"/>
            </w:tabs>
            <w:spacing/>
            <w:ind/>
            <w:rPr/>
          </w:pPr>
          <w:r/>
          <w:hyperlink w:tooltip="GDPR principle mapping" w:anchor="__RefHeading___Toc2529_2076133143" w:history="1">
            <w:r>
              <w:rPr>
                <w:rStyle w:val="915"/>
              </w:rPr>
              <w:t xml:space="preserve">GDPR principle mapping</w:t>
              <w:tab/>
              <w:t xml:space="preserve">37</w:t>
            </w:r>
          </w:hyperlink>
          <w:r/>
          <w:r/>
        </w:p>
        <w:p>
          <w:pPr>
            <w:pStyle w:val="946"/>
            <w:pBdr/>
            <w:tabs>
              <w:tab w:val="clear" w:leader="none" w:pos="8510"/>
              <w:tab w:val="right" w:leader="dot" w:pos="9359"/>
            </w:tabs>
            <w:spacing/>
            <w:ind/>
            <w:rPr/>
          </w:pPr>
          <w:r/>
          <w:hyperlink w:tooltip="Practical compliance procedures" w:anchor="__RefHeading___Toc2531_2076133143" w:history="1">
            <w:r>
              <w:rPr>
                <w:rStyle w:val="915"/>
              </w:rPr>
              <w:t xml:space="preserve">Practical compliance procedures</w:t>
              <w:tab/>
              <w:t xml:space="preserve">37</w:t>
            </w:r>
          </w:hyperlink>
          <w:r/>
          <w:r/>
        </w:p>
        <w:p>
          <w:pPr>
            <w:pStyle w:val="946"/>
            <w:pBdr/>
            <w:tabs>
              <w:tab w:val="clear" w:leader="none" w:pos="8510"/>
              <w:tab w:val="right" w:leader="dot" w:pos="9359"/>
            </w:tabs>
            <w:spacing/>
            <w:ind/>
            <w:rPr/>
          </w:pPr>
          <w:r/>
          <w:hyperlink w:tooltip="Audit readiness checklist" w:anchor="__RefHeading___Toc2533_2076133143" w:history="1">
            <w:r>
              <w:rPr>
                <w:rStyle w:val="915"/>
              </w:rPr>
              <w:t xml:space="preserve">Audit readiness checklist</w:t>
              <w:tab/>
              <w:t xml:space="preserve">37</w:t>
            </w:r>
          </w:hyperlink>
          <w:r/>
          <w:r/>
        </w:p>
        <w:p>
          <w:pPr>
            <w:pStyle w:val="945"/>
            <w:pBdr/>
            <w:tabs>
              <w:tab w:val="clear" w:leader="none" w:pos="8793"/>
              <w:tab w:val="right" w:leader="dot" w:pos="9359"/>
            </w:tabs>
            <w:spacing/>
            <w:ind/>
            <w:rPr/>
          </w:pPr>
          <w:r/>
          <w:hyperlink w:tooltip="K. Deployment, Operations, and Incident Response Playbook" w:anchor="__RefHeading___Toc2535_2076133143" w:history="1">
            <w:r>
              <w:rPr>
                <w:rStyle w:val="915"/>
              </w:rPr>
              <w:t xml:space="preserve">K. Deployment, Operations, and Incident Response Playbook</w:t>
              <w:tab/>
              <w:t xml:space="preserve">37</w:t>
            </w:r>
          </w:hyperlink>
          <w:r/>
          <w:r/>
        </w:p>
        <w:p>
          <w:pPr>
            <w:pStyle w:val="946"/>
            <w:pBdr/>
            <w:tabs>
              <w:tab w:val="clear" w:leader="none" w:pos="8510"/>
              <w:tab w:val="right" w:leader="dot" w:pos="9359"/>
            </w:tabs>
            <w:spacing/>
            <w:ind/>
            <w:rPr/>
          </w:pPr>
          <w:r/>
          <w:hyperlink w:tooltip="Deployment model" w:anchor="__RefHeading___Toc2537_2076133143" w:history="1">
            <w:r>
              <w:rPr>
                <w:rStyle w:val="915"/>
              </w:rPr>
              <w:t xml:space="preserve">Deployment model</w:t>
              <w:tab/>
              <w:t xml:space="preserve">38</w:t>
            </w:r>
          </w:hyperlink>
          <w:r/>
          <w:r/>
        </w:p>
        <w:p>
          <w:pPr>
            <w:pStyle w:val="946"/>
            <w:pBdr/>
            <w:tabs>
              <w:tab w:val="clear" w:leader="none" w:pos="8510"/>
              <w:tab w:val="right" w:leader="dot" w:pos="9359"/>
            </w:tabs>
            <w:spacing/>
            <w:ind/>
            <w:rPr/>
          </w:pPr>
          <w:r/>
          <w:hyperlink w:tooltip="Operational roles" w:anchor="__RefHeading___Toc2539_2076133143" w:history="1">
            <w:r>
              <w:rPr>
                <w:rStyle w:val="915"/>
              </w:rPr>
              <w:t xml:space="preserve">Operational roles</w:t>
              <w:tab/>
              <w:t xml:space="preserve">38</w:t>
            </w:r>
          </w:hyperlink>
          <w:r/>
          <w:r/>
        </w:p>
        <w:p>
          <w:pPr>
            <w:pStyle w:val="946"/>
            <w:pBdr/>
            <w:tabs>
              <w:tab w:val="clear" w:leader="none" w:pos="8510"/>
              <w:tab w:val="right" w:leader="dot" w:pos="9359"/>
            </w:tabs>
            <w:spacing/>
            <w:ind/>
            <w:rPr/>
          </w:pPr>
          <w:r/>
          <w:hyperlink w:tooltip="Incident response workflow for clipboard events" w:anchor="__RefHeading___Toc2541_2076133143" w:history="1">
            <w:r>
              <w:rPr>
                <w:rStyle w:val="915"/>
              </w:rPr>
              <w:t xml:space="preserve">Incident response workflow for clipboard events</w:t>
              <w:tab/>
              <w:t xml:space="preserve">39</w:t>
            </w:r>
          </w:hyperlink>
          <w:r/>
          <w:r/>
        </w:p>
        <w:p>
          <w:pPr>
            <w:pStyle w:val="946"/>
            <w:pBdr/>
            <w:tabs>
              <w:tab w:val="clear" w:leader="none" w:pos="8510"/>
              <w:tab w:val="right" w:leader="dot" w:pos="9359"/>
            </w:tabs>
            <w:spacing/>
            <w:ind/>
            <w:rPr/>
          </w:pPr>
          <w:r/>
          <w:hyperlink w:tooltip="Runbook examples" w:anchor="__RefHeading___Toc2543_2076133143" w:history="1">
            <w:r>
              <w:rPr>
                <w:rStyle w:val="915"/>
              </w:rPr>
              <w:t xml:space="preserve">Runbook examples</w:t>
              <w:tab/>
              <w:t xml:space="preserve">39</w:t>
            </w:r>
          </w:hyperlink>
          <w:r/>
          <w:r/>
        </w:p>
        <w:p>
          <w:pPr>
            <w:pStyle w:val="946"/>
            <w:pBdr/>
            <w:tabs>
              <w:tab w:val="clear" w:leader="none" w:pos="8510"/>
              <w:tab w:val="right" w:leader="dot" w:pos="9359"/>
            </w:tabs>
            <w:spacing/>
            <w:ind/>
            <w:rPr/>
          </w:pPr>
          <w:r/>
          <w:hyperlink w:tooltip="Change management and versioning" w:anchor="__RefHeading___Toc2545_2076133143" w:history="1">
            <w:r>
              <w:rPr>
                <w:rStyle w:val="915"/>
              </w:rPr>
              <w:t xml:space="preserve">Change management and versioning</w:t>
              <w:tab/>
              <w:t xml:space="preserve">39</w:t>
            </w:r>
          </w:hyperlink>
          <w:r/>
          <w:r/>
        </w:p>
        <w:p>
          <w:pPr>
            <w:pStyle w:val="946"/>
            <w:pBdr/>
            <w:tabs>
              <w:tab w:val="clear" w:leader="none" w:pos="8510"/>
              <w:tab w:val="right" w:leader="dot" w:pos="9359"/>
            </w:tabs>
            <w:spacing/>
            <w:ind/>
            <w:rPr/>
          </w:pPr>
          <w:r/>
          <w:hyperlink w:tooltip="Operational KPIs" w:anchor="__RefHeading___Toc2547_2076133143" w:history="1">
            <w:r>
              <w:rPr>
                <w:rStyle w:val="915"/>
              </w:rPr>
              <w:t xml:space="preserve">Operational KPIs</w:t>
              <w:tab/>
              <w:t xml:space="preserve">39</w:t>
            </w:r>
          </w:hyperlink>
          <w:r/>
          <w:r/>
        </w:p>
        <w:p>
          <w:pPr>
            <w:pStyle w:val="945"/>
            <w:pBdr/>
            <w:tabs>
              <w:tab w:val="clear" w:leader="none" w:pos="8793"/>
              <w:tab w:val="right" w:leader="dot" w:pos="9359"/>
            </w:tabs>
            <w:spacing/>
            <w:ind/>
            <w:rPr/>
          </w:pPr>
          <w:r/>
          <w:hyperlink w:tooltip="L. Extended Recommendations and Research Agenda" w:anchor="__RefHeading___Toc2549_2076133143" w:history="1">
            <w:r>
              <w:rPr>
                <w:rStyle w:val="915"/>
              </w:rPr>
              <w:t xml:space="preserve">L. Extended Recommendations and Research Agenda</w:t>
              <w:tab/>
              <w:t xml:space="preserve">39</w:t>
            </w:r>
          </w:hyperlink>
          <w:r/>
          <w:r/>
        </w:p>
        <w:p>
          <w:pPr>
            <w:pStyle w:val="946"/>
            <w:pBdr/>
            <w:tabs>
              <w:tab w:val="clear" w:leader="none" w:pos="8510"/>
              <w:tab w:val="right" w:leader="dot" w:pos="9359"/>
            </w:tabs>
            <w:spacing/>
            <w:ind/>
            <w:rPr/>
          </w:pPr>
          <w:r/>
          <w:hyperlink w:tooltip="Short-term technical priorities (0 to 3 months)" w:anchor="__RefHeading___Toc2551_2076133143" w:history="1">
            <w:r>
              <w:rPr>
                <w:rStyle w:val="915"/>
              </w:rPr>
              <w:t xml:space="preserve">Short-term technical priorities (0 to 3 months)</w:t>
              <w:tab/>
              <w:t xml:space="preserve">40</w:t>
            </w:r>
          </w:hyperlink>
          <w:r/>
          <w:r/>
        </w:p>
        <w:p>
          <w:pPr>
            <w:pStyle w:val="946"/>
            <w:pBdr/>
            <w:tabs>
              <w:tab w:val="clear" w:leader="none" w:pos="8510"/>
              <w:tab w:val="right" w:leader="dot" w:pos="9359"/>
            </w:tabs>
            <w:spacing/>
            <w:ind/>
            <w:rPr/>
          </w:pPr>
          <w:r/>
          <w:hyperlink w:tooltip="Medium-term priorities (3 to 9 months)" w:anchor="__RefHeading___Toc2553_2076133143" w:history="1">
            <w:r>
              <w:rPr>
                <w:rStyle w:val="915"/>
              </w:rPr>
              <w:t xml:space="preserve">Medium-term priorities (3 to 9 months)</w:t>
              <w:tab/>
              <w:t xml:space="preserve">40</w:t>
            </w:r>
          </w:hyperlink>
          <w:r/>
          <w:r/>
        </w:p>
        <w:p>
          <w:pPr>
            <w:pStyle w:val="946"/>
            <w:pBdr/>
            <w:tabs>
              <w:tab w:val="clear" w:leader="none" w:pos="8510"/>
              <w:tab w:val="right" w:leader="dot" w:pos="9359"/>
            </w:tabs>
            <w:spacing/>
            <w:ind/>
            <w:rPr/>
          </w:pPr>
          <w:r/>
          <w:hyperlink w:tooltip="Long-term priorities (9 to 18 months)" w:anchor="__RefHeading___Toc2555_2076133143" w:history="1">
            <w:r>
              <w:rPr>
                <w:rStyle w:val="915"/>
              </w:rPr>
              <w:t xml:space="preserve">Long-term priorities (9 to 18 months)</w:t>
              <w:tab/>
              <w:t xml:space="preserve">40</w:t>
            </w:r>
          </w:hyperlink>
          <w:r/>
          <w:r/>
        </w:p>
        <w:p>
          <w:pPr>
            <w:pStyle w:val="946"/>
            <w:pBdr/>
            <w:tabs>
              <w:tab w:val="clear" w:leader="none" w:pos="8510"/>
              <w:tab w:val="right" w:leader="dot" w:pos="9359"/>
            </w:tabs>
            <w:spacing/>
            <w:ind/>
            <w:rPr/>
          </w:pPr>
          <w:r/>
          <w:hyperlink w:tooltip="Research questions for further study" w:anchor="__RefHeading___Toc2557_2076133143" w:history="1">
            <w:r>
              <w:rPr>
                <w:rStyle w:val="915"/>
              </w:rPr>
              <w:t xml:space="preserve">Research questions for further study</w:t>
              <w:tab/>
              <w:t xml:space="preserve">40</w:t>
            </w:r>
          </w:hyperlink>
          <w:r/>
          <w:r/>
        </w:p>
        <w:p>
          <w:pPr>
            <w:pStyle w:val="946"/>
            <w:pBdr/>
            <w:tabs>
              <w:tab w:val="clear" w:leader="none" w:pos="8510"/>
              <w:tab w:val="right" w:leader="dot" w:pos="9359"/>
            </w:tabs>
            <w:spacing/>
            <w:ind/>
            <w:rPr/>
          </w:pPr>
          <w:r/>
          <w:hyperlink w:tooltip="Potential interdisciplinary collaboration" w:anchor="__RefHeading___Toc2559_2076133143" w:history="1">
            <w:r>
              <w:rPr>
                <w:rStyle w:val="915"/>
              </w:rPr>
              <w:t xml:space="preserve">Potential interdisciplinary collaboration</w:t>
              <w:tab/>
              <w:t xml:space="preserve">40</w:t>
            </w:r>
          </w:hyperlink>
          <w:r/>
          <w:r/>
        </w:p>
        <w:p>
          <w:pPr>
            <w:pStyle w:val="945"/>
            <w:pBdr/>
            <w:tabs>
              <w:tab w:val="clear" w:leader="none" w:pos="8793"/>
              <w:tab w:val="right" w:leader="dot" w:pos="9359"/>
            </w:tabs>
            <w:spacing/>
            <w:ind/>
            <w:rPr/>
          </w:pPr>
          <w:r/>
          <w:hyperlink w:tooltip="M. Reflective Practice and Professional Learning" w:anchor="__RefHeading___Toc2561_2076133143" w:history="1">
            <w:r>
              <w:rPr>
                <w:rStyle w:val="915"/>
              </w:rPr>
              <w:t xml:space="preserve">M. Reflective Practice and Professional Learning</w:t>
              <w:tab/>
              <w:t xml:space="preserve">40</w:t>
            </w:r>
          </w:hyperlink>
          <w:r/>
          <w:r/>
        </w:p>
        <w:p>
          <w:pPr>
            <w:pStyle w:val="946"/>
            <w:pBdr/>
            <w:tabs>
              <w:tab w:val="clear" w:leader="none" w:pos="8510"/>
              <w:tab w:val="right" w:leader="dot" w:pos="9359"/>
            </w:tabs>
            <w:spacing/>
            <w:ind/>
            <w:rPr/>
          </w:pPr>
          <w:r/>
          <w:hyperlink w:tooltip="Technical learning" w:anchor="__RefHeading___Toc2563_2076133143" w:history="1">
            <w:r>
              <w:rPr>
                <w:rStyle w:val="915"/>
              </w:rPr>
              <w:t xml:space="preserve">Technical learning</w:t>
              <w:tab/>
              <w:t xml:space="preserve">41</w:t>
            </w:r>
          </w:hyperlink>
          <w:r/>
          <w:r/>
        </w:p>
        <w:p>
          <w:pPr>
            <w:pStyle w:val="946"/>
            <w:pBdr/>
            <w:tabs>
              <w:tab w:val="clear" w:leader="none" w:pos="8510"/>
              <w:tab w:val="right" w:leader="dot" w:pos="9359"/>
            </w:tabs>
            <w:spacing/>
            <w:ind/>
            <w:rPr/>
          </w:pPr>
          <w:r/>
          <w:hyperlink w:tooltip="Security engineering learning" w:anchor="__RefHeading___Toc2565_2076133143" w:history="1">
            <w:r>
              <w:rPr>
                <w:rStyle w:val="915"/>
              </w:rPr>
              <w:t xml:space="preserve">Security engineering learning</w:t>
              <w:tab/>
              <w:t xml:space="preserve">41</w:t>
            </w:r>
          </w:hyperlink>
          <w:r/>
          <w:r/>
        </w:p>
        <w:p>
          <w:pPr>
            <w:pStyle w:val="946"/>
            <w:pBdr/>
            <w:tabs>
              <w:tab w:val="clear" w:leader="none" w:pos="8510"/>
              <w:tab w:val="right" w:leader="dot" w:pos="9359"/>
            </w:tabs>
            <w:spacing/>
            <w:ind/>
            <w:rPr/>
          </w:pPr>
          <w:r/>
          <w:hyperlink w:tooltip="Research and evidence learning" w:anchor="__RefHeading___Toc2567_2076133143" w:history="1">
            <w:r>
              <w:rPr>
                <w:rStyle w:val="915"/>
              </w:rPr>
              <w:t xml:space="preserve">Research and evidence learning</w:t>
              <w:tab/>
              <w:t xml:space="preserve">41</w:t>
            </w:r>
          </w:hyperlink>
          <w:r/>
          <w:r/>
        </w:p>
        <w:p>
          <w:pPr>
            <w:pStyle w:val="946"/>
            <w:pBdr/>
            <w:tabs>
              <w:tab w:val="clear" w:leader="none" w:pos="8510"/>
              <w:tab w:val="right" w:leader="dot" w:pos="9359"/>
            </w:tabs>
            <w:spacing/>
            <w:ind/>
            <w:rPr/>
          </w:pPr>
          <w:r/>
          <w:hyperlink w:tooltip="Communication and stakeholder learning" w:anchor="__RefHeading___Toc2569_2076133143" w:history="1">
            <w:r>
              <w:rPr>
                <w:rStyle w:val="915"/>
              </w:rPr>
              <w:t xml:space="preserve">Communication and stakeholder learning</w:t>
              <w:tab/>
              <w:t xml:space="preserve">41</w:t>
            </w:r>
          </w:hyperlink>
          <w:r/>
          <w:r/>
        </w:p>
        <w:p>
          <w:pPr>
            <w:pStyle w:val="946"/>
            <w:pBdr/>
            <w:tabs>
              <w:tab w:val="clear" w:leader="none" w:pos="8510"/>
              <w:tab w:val="right" w:leader="dot" w:pos="9359"/>
            </w:tabs>
            <w:spacing/>
            <w:ind/>
            <w:rPr/>
          </w:pPr>
          <w:r/>
          <w:hyperlink w:tooltip="Ethical reflection" w:anchor="__RefHeading___Toc2571_2076133143" w:history="1">
            <w:r>
              <w:rPr>
                <w:rStyle w:val="915"/>
              </w:rPr>
              <w:t xml:space="preserve">Ethical reflection</w:t>
              <w:tab/>
              <w:t xml:space="preserve">41</w:t>
            </w:r>
          </w:hyperlink>
          <w:r/>
          <w:r/>
        </w:p>
        <w:p>
          <w:pPr>
            <w:pStyle w:val="946"/>
            <w:pBdr/>
            <w:tabs>
              <w:tab w:val="clear" w:leader="none" w:pos="8510"/>
              <w:tab w:val="right" w:leader="dot" w:pos="9359"/>
            </w:tabs>
            <w:spacing/>
            <w:ind/>
            <w:rPr/>
          </w:pPr>
          <w:r/>
          <w:hyperlink w:tooltip="Professional development outcomes" w:anchor="__RefHeading___Toc2573_2076133143" w:history="1">
            <w:r>
              <w:rPr>
                <w:rStyle w:val="915"/>
              </w:rPr>
              <w:t xml:space="preserve">Professional development outcomes</w:t>
              <w:tab/>
              <w:t xml:space="preserve">41</w:t>
            </w:r>
          </w:hyperlink>
          <w:r/>
          <w:r/>
        </w:p>
        <w:p>
          <w:pPr>
            <w:pStyle w:val="945"/>
            <w:pBdr/>
            <w:tabs>
              <w:tab w:val="clear" w:leader="none" w:pos="8793"/>
              <w:tab w:val="right" w:leader="dot" w:pos="9359"/>
            </w:tabs>
            <w:spacing/>
            <w:ind/>
            <w:rPr/>
          </w:pPr>
          <w:r/>
          <w:hyperlink w:tooltip="N. Expanded Scenario Catalogue and Security Test Narratives" w:anchor="__RefHeading___Toc2575_2076133143" w:history="1">
            <w:r>
              <w:rPr>
                <w:rStyle w:val="915"/>
              </w:rPr>
              <w:t xml:space="preserve">N. Expanded Scenario Catalogue and Security Test Narratives</w:t>
              <w:tab/>
              <w:t xml:space="preserve">42</w:t>
            </w:r>
          </w:hyperlink>
          <w:r/>
          <w:r/>
        </w:p>
        <w:p>
          <w:pPr>
            <w:pStyle w:val="946"/>
            <w:pBdr/>
            <w:tabs>
              <w:tab w:val="clear" w:leader="none" w:pos="8510"/>
              <w:tab w:val="right" w:leader="dot" w:pos="9359"/>
            </w:tabs>
            <w:spacing/>
            <w:ind/>
            <w:rPr/>
          </w:pPr>
          <w:r/>
          <w:hyperlink w:tooltip="Scenario Group 1: Financial Workflow Protection" w:anchor="__RefHeading___Toc2577_2076133143" w:history="1">
            <w:r>
              <w:rPr>
                <w:rStyle w:val="915"/>
              </w:rPr>
              <w:t xml:space="preserve">Scenario Group 1: Financial Workflow Protection</w:t>
              <w:tab/>
              <w:t xml:space="preserve">42</w:t>
            </w:r>
          </w:hyperlink>
          <w:r/>
          <w:r/>
        </w:p>
        <w:p>
          <w:pPr>
            <w:pStyle w:val="946"/>
            <w:pBdr/>
            <w:tabs>
              <w:tab w:val="clear" w:leader="none" w:pos="8510"/>
              <w:tab w:val="right" w:leader="dot" w:pos="9359"/>
            </w:tabs>
            <w:spacing/>
            <w:ind/>
            <w:rPr/>
          </w:pPr>
          <w:r/>
          <w:hyperlink w:tooltip="Scenario Group 2: Developer and Infrastructure Secret Safety" w:anchor="__RefHeading___Toc2579_2076133143" w:history="1">
            <w:r>
              <w:rPr>
                <w:rStyle w:val="915"/>
              </w:rPr>
              <w:t xml:space="preserve">Scenario Group 2: Developer and Infrastructure Secret Safety</w:t>
              <w:tab/>
              <w:t xml:space="preserve">43</w:t>
            </w:r>
          </w:hyperlink>
          <w:r/>
          <w:r/>
        </w:p>
        <w:p>
          <w:pPr>
            <w:pStyle w:val="946"/>
            <w:pBdr/>
            <w:tabs>
              <w:tab w:val="clear" w:leader="none" w:pos="8510"/>
              <w:tab w:val="right" w:leader="dot" w:pos="9359"/>
            </w:tabs>
            <w:spacing/>
            <w:ind/>
            <w:rPr/>
          </w:pPr>
          <w:r/>
          <w:hyperlink w:tooltip="Scenario Group 3: Identity and Authentication Flows" w:anchor="__RefHeading___Toc2581_2076133143" w:history="1">
            <w:r>
              <w:rPr>
                <w:rStyle w:val="915"/>
              </w:rPr>
              <w:t xml:space="preserve">Scenario Group 3: Identity and Authentication Flows</w:t>
              <w:tab/>
              <w:t xml:space="preserve">43</w:t>
            </w:r>
          </w:hyperlink>
          <w:r/>
          <w:r/>
        </w:p>
        <w:p>
          <w:pPr>
            <w:pStyle w:val="946"/>
            <w:pBdr/>
            <w:tabs>
              <w:tab w:val="clear" w:leader="none" w:pos="8510"/>
              <w:tab w:val="right" w:leader="dot" w:pos="9359"/>
            </w:tabs>
            <w:spacing/>
            <w:ind/>
            <w:rPr/>
          </w:pPr>
          <w:r/>
          <w:hyperlink w:tooltip="Scenario Group 4: Internal Data and Privacy Protection" w:anchor="__RefHeading___Toc2583_2076133143" w:history="1">
            <w:r>
              <w:rPr>
                <w:rStyle w:val="915"/>
              </w:rPr>
              <w:t xml:space="preserve">Scenario Group 4: Internal Data and Privacy Protection</w:t>
              <w:tab/>
              <w:t xml:space="preserve">44</w:t>
            </w:r>
          </w:hyperlink>
          <w:r/>
          <w:r/>
        </w:p>
        <w:p>
          <w:pPr>
            <w:pStyle w:val="946"/>
            <w:pBdr/>
            <w:tabs>
              <w:tab w:val="clear" w:leader="none" w:pos="8510"/>
              <w:tab w:val="right" w:leader="dot" w:pos="9359"/>
            </w:tabs>
            <w:spacing/>
            <w:ind/>
            <w:rPr/>
          </w:pPr>
          <w:r/>
          <w:hyperlink w:tooltip="Scenario Group 5: Adversarial and Evasion-Oriented Testing" w:anchor="__RefHeading___Toc2585_2076133143" w:history="1">
            <w:r>
              <w:rPr>
                <w:rStyle w:val="915"/>
              </w:rPr>
              <w:t xml:space="preserve">Scenario Group 5: Adversarial and Evasion-Oriented Testing</w:t>
              <w:tab/>
              <w:t xml:space="preserve">44</w:t>
            </w:r>
          </w:hyperlink>
          <w:r/>
          <w:r/>
        </w:p>
        <w:p>
          <w:pPr>
            <w:pStyle w:val="946"/>
            <w:pBdr/>
            <w:tabs>
              <w:tab w:val="clear" w:leader="none" w:pos="8510"/>
              <w:tab w:val="right" w:leader="dot" w:pos="9359"/>
            </w:tabs>
            <w:spacing/>
            <w:ind/>
            <w:rPr/>
          </w:pPr>
          <w:r/>
          <w:hyperlink w:tooltip="Scenario execution protocol" w:anchor="__RefHeading___Toc2587_2076133143" w:history="1">
            <w:r>
              <w:rPr>
                <w:rStyle w:val="915"/>
              </w:rPr>
              <w:t xml:space="preserve">Scenario execution protocol</w:t>
              <w:tab/>
              <w:t xml:space="preserve">44</w:t>
            </w:r>
          </w:hyperlink>
          <w:r/>
          <w:r/>
        </w:p>
        <w:p>
          <w:pPr>
            <w:pStyle w:val="945"/>
            <w:pBdr/>
            <w:tabs>
              <w:tab w:val="clear" w:leader="none" w:pos="8793"/>
              <w:tab w:val="right" w:leader="dot" w:pos="9359"/>
            </w:tabs>
            <w:spacing/>
            <w:ind/>
            <w:rPr/>
          </w:pPr>
          <w:r/>
          <w:hyperlink w:tooltip="O. Data Governance, Privacy Engineering, and Retention Model" w:anchor="__RefHeading___Toc2589_2076133143" w:history="1">
            <w:r>
              <w:rPr>
                <w:rStyle w:val="915"/>
              </w:rPr>
              <w:t xml:space="preserve">O. Data Governance, Privacy Engineering, and Retention Model</w:t>
              <w:tab/>
              <w:t xml:space="preserve">45</w:t>
            </w:r>
          </w:hyperlink>
          <w:r/>
          <w:r/>
        </w:p>
        <w:p>
          <w:pPr>
            <w:pStyle w:val="946"/>
            <w:pBdr/>
            <w:tabs>
              <w:tab w:val="clear" w:leader="none" w:pos="8510"/>
              <w:tab w:val="right" w:leader="dot" w:pos="9359"/>
            </w:tabs>
            <w:spacing/>
            <w:ind/>
            <w:rPr/>
          </w:pPr>
          <w:r/>
          <w:hyperlink w:tooltip="Governance principles for endpoint clipboard data" w:anchor="__RefHeading___Toc2591_2076133143" w:history="1">
            <w:r>
              <w:rPr>
                <w:rStyle w:val="915"/>
              </w:rPr>
              <w:t xml:space="preserve">Governance principles for endpoint clipboard data</w:t>
              <w:tab/>
              <w:t xml:space="preserve">45</w:t>
            </w:r>
          </w:hyperlink>
          <w:r/>
          <w:r/>
        </w:p>
        <w:p>
          <w:pPr>
            <w:pStyle w:val="946"/>
            <w:pBdr/>
            <w:tabs>
              <w:tab w:val="clear" w:leader="none" w:pos="8510"/>
              <w:tab w:val="right" w:leader="dot" w:pos="9359"/>
            </w:tabs>
            <w:spacing/>
            <w:ind/>
            <w:rPr/>
          </w:pPr>
          <w:r/>
          <w:hyperlink w:tooltip="Data classification for stored clipboard events" w:anchor="__RefHeading___Toc2593_2076133143" w:history="1">
            <w:r>
              <w:rPr>
                <w:rStyle w:val="915"/>
              </w:rPr>
              <w:t xml:space="preserve">Data classification for stored clipboard events</w:t>
              <w:tab/>
              <w:t xml:space="preserve">45</w:t>
            </w:r>
          </w:hyperlink>
          <w:r/>
          <w:r/>
        </w:p>
        <w:p>
          <w:pPr>
            <w:pStyle w:val="946"/>
            <w:pBdr/>
            <w:tabs>
              <w:tab w:val="clear" w:leader="none" w:pos="8510"/>
              <w:tab w:val="right" w:leader="dot" w:pos="9359"/>
            </w:tabs>
            <w:spacing/>
            <w:ind/>
            <w:rPr/>
          </w:pPr>
          <w:r/>
          <w:hyperlink w:tooltip="Retention strategy" w:anchor="__RefHeading___Toc2595_2076133143" w:history="1">
            <w:r>
              <w:rPr>
                <w:rStyle w:val="915"/>
              </w:rPr>
              <w:t xml:space="preserve">Retention strategy</w:t>
              <w:tab/>
              <w:t xml:space="preserve">46</w:t>
            </w:r>
          </w:hyperlink>
          <w:r/>
          <w:r/>
        </w:p>
        <w:p>
          <w:pPr>
            <w:pStyle w:val="946"/>
            <w:pBdr/>
            <w:tabs>
              <w:tab w:val="clear" w:leader="none" w:pos="8510"/>
              <w:tab w:val="right" w:leader="dot" w:pos="9359"/>
            </w:tabs>
            <w:spacing/>
            <w:ind/>
            <w:rPr/>
          </w:pPr>
          <w:r/>
          <w:hyperlink w:tooltip="Access control model" w:anchor="__RefHeading___Toc2597_2076133143" w:history="1">
            <w:r>
              <w:rPr>
                <w:rStyle w:val="915"/>
              </w:rPr>
              <w:t xml:space="preserve">Access control model</w:t>
              <w:tab/>
              <w:t xml:space="preserve">46</w:t>
            </w:r>
          </w:hyperlink>
          <w:r/>
          <w:r/>
        </w:p>
        <w:p>
          <w:pPr>
            <w:pStyle w:val="946"/>
            <w:pBdr/>
            <w:tabs>
              <w:tab w:val="clear" w:leader="none" w:pos="8510"/>
              <w:tab w:val="right" w:leader="dot" w:pos="9359"/>
            </w:tabs>
            <w:spacing/>
            <w:ind/>
            <w:rPr/>
          </w:pPr>
          <w:r/>
          <w:hyperlink w:tooltip="Secure export strategy" w:anchor="__RefHeading___Toc2599_2076133143" w:history="1">
            <w:r>
              <w:rPr>
                <w:rStyle w:val="915"/>
              </w:rPr>
              <w:t xml:space="preserve">Secure export strategy</w:t>
              <w:tab/>
              <w:t xml:space="preserve">46</w:t>
            </w:r>
          </w:hyperlink>
          <w:r/>
          <w:r/>
        </w:p>
        <w:p>
          <w:pPr>
            <w:pStyle w:val="946"/>
            <w:pBdr/>
            <w:tabs>
              <w:tab w:val="clear" w:leader="none" w:pos="8510"/>
              <w:tab w:val="right" w:leader="dot" w:pos="9359"/>
            </w:tabs>
            <w:spacing/>
            <w:ind/>
            <w:rPr/>
          </w:pPr>
          <w:r/>
          <w:hyperlink w:tooltip="Privacy impact assessment outline" w:anchor="__RefHeading___Toc2601_2076133143" w:history="1">
            <w:r>
              <w:rPr>
                <w:rStyle w:val="915"/>
              </w:rPr>
              <w:t xml:space="preserve">Privacy impact assessment outline</w:t>
              <w:tab/>
              <w:t xml:space="preserve">47</w:t>
            </w:r>
          </w:hyperlink>
          <w:r/>
          <w:r/>
        </w:p>
        <w:p>
          <w:pPr>
            <w:pStyle w:val="946"/>
            <w:pBdr/>
            <w:tabs>
              <w:tab w:val="clear" w:leader="none" w:pos="8510"/>
              <w:tab w:val="right" w:leader="dot" w:pos="9359"/>
            </w:tabs>
            <w:spacing/>
            <w:ind/>
            <w:rPr/>
          </w:pPr>
          <w:r/>
          <w:hyperlink w:tooltip="Handling subject requests and deletion rights" w:anchor="__RefHeading___Toc2603_2076133143" w:history="1">
            <w:r>
              <w:rPr>
                <w:rStyle w:val="915"/>
              </w:rPr>
              <w:t xml:space="preserve">Handling subject requests and deletion rights</w:t>
              <w:tab/>
              <w:t xml:space="preserve">47</w:t>
            </w:r>
          </w:hyperlink>
          <w:r/>
          <w:r/>
        </w:p>
        <w:p>
          <w:pPr>
            <w:pStyle w:val="946"/>
            <w:pBdr/>
            <w:tabs>
              <w:tab w:val="clear" w:leader="none" w:pos="8510"/>
              <w:tab w:val="right" w:leader="dot" w:pos="9359"/>
            </w:tabs>
            <w:spacing/>
            <w:ind/>
            <w:rPr/>
          </w:pPr>
          <w:r/>
          <w:hyperlink w:tooltip="Cross-border and synchronization concerns" w:anchor="__RefHeading___Toc2605_2076133143" w:history="1">
            <w:r>
              <w:rPr>
                <w:rStyle w:val="915"/>
              </w:rPr>
              <w:t xml:space="preserve">Cross-border and synchronization concerns</w:t>
              <w:tab/>
              <w:t xml:space="preserve">47</w:t>
            </w:r>
          </w:hyperlink>
          <w:r/>
          <w:r/>
        </w:p>
        <w:p>
          <w:pPr>
            <w:pStyle w:val="946"/>
            <w:pBdr/>
            <w:tabs>
              <w:tab w:val="clear" w:leader="none" w:pos="8510"/>
              <w:tab w:val="right" w:leader="dot" w:pos="9359"/>
            </w:tabs>
            <w:spacing/>
            <w:ind/>
            <w:rPr/>
          </w:pPr>
          <w:r/>
          <w:hyperlink w:tooltip="Governance metrics and reporting" w:anchor="__RefHeading___Toc2607_2076133143" w:history="1">
            <w:r>
              <w:rPr>
                <w:rStyle w:val="915"/>
              </w:rPr>
              <w:t xml:space="preserve">Governance metrics and reporting</w:t>
              <w:tab/>
              <w:t xml:space="preserve">47</w:t>
            </w:r>
          </w:hyperlink>
          <w:r/>
          <w:r/>
        </w:p>
        <w:p>
          <w:pPr>
            <w:pStyle w:val="945"/>
            <w:pBdr/>
            <w:tabs>
              <w:tab w:val="clear" w:leader="none" w:pos="8793"/>
              <w:tab w:val="right" w:leader="dot" w:pos="9359"/>
            </w:tabs>
            <w:spacing/>
            <w:ind/>
            <w:rPr/>
          </w:pPr>
          <w:r/>
          <w:hyperlink w:tooltip="P. Enterprise Integration Blueprint and Scalability Considerations" w:anchor="__RefHeading___Toc2609_2076133143" w:history="1">
            <w:r>
              <w:rPr>
                <w:rStyle w:val="915"/>
              </w:rPr>
              <w:t xml:space="preserve">P. Enterprise Integration Blueprint and Scalability Considerations</w:t>
              <w:tab/>
              <w:t xml:space="preserve">47</w:t>
            </w:r>
          </w:hyperlink>
          <w:r/>
          <w:r/>
        </w:p>
        <w:p>
          <w:pPr>
            <w:pStyle w:val="946"/>
            <w:pBdr/>
            <w:tabs>
              <w:tab w:val="clear" w:leader="none" w:pos="8510"/>
              <w:tab w:val="right" w:leader="dot" w:pos="9359"/>
            </w:tabs>
            <w:spacing/>
            <w:ind/>
            <w:rPr/>
          </w:pPr>
          <w:r/>
          <w:hyperlink w:tooltip="Integration architecture options" w:anchor="__RefHeading___Toc2611_2076133143" w:history="1">
            <w:r>
              <w:rPr>
                <w:rStyle w:val="915"/>
              </w:rPr>
              <w:t xml:space="preserve">Integration architecture options</w:t>
              <w:tab/>
              <w:t xml:space="preserve">48</w:t>
            </w:r>
          </w:hyperlink>
          <w:r/>
          <w:r/>
        </w:p>
        <w:p>
          <w:pPr>
            <w:pStyle w:val="946"/>
            <w:pBdr/>
            <w:tabs>
              <w:tab w:val="clear" w:leader="none" w:pos="8510"/>
              <w:tab w:val="right" w:leader="dot" w:pos="9359"/>
            </w:tabs>
            <w:spacing/>
            <w:ind/>
            <w:rPr/>
          </w:pPr>
          <w:r/>
          <w:hyperlink w:tooltip="SIEM integration strategy" w:anchor="__RefHeading___Toc2613_2076133143" w:history="1">
            <w:r>
              <w:rPr>
                <w:rStyle w:val="915"/>
              </w:rPr>
              <w:t xml:space="preserve">SIEM integration strategy</w:t>
              <w:tab/>
              <w:t xml:space="preserve">48</w:t>
            </w:r>
          </w:hyperlink>
          <w:r/>
          <w:r/>
        </w:p>
        <w:p>
          <w:pPr>
            <w:pStyle w:val="946"/>
            <w:pBdr/>
            <w:tabs>
              <w:tab w:val="clear" w:leader="none" w:pos="8510"/>
              <w:tab w:val="right" w:leader="dot" w:pos="9359"/>
            </w:tabs>
            <w:spacing/>
            <w:ind/>
            <w:rPr/>
          </w:pPr>
          <w:r/>
          <w:hyperlink w:tooltip="Correlation use cases" w:anchor="__RefHeading___Toc2615_2076133143" w:history="1">
            <w:r>
              <w:rPr>
                <w:rStyle w:val="915"/>
              </w:rPr>
              <w:t xml:space="preserve">Correlation use cases</w:t>
              <w:tab/>
              <w:t xml:space="preserve">48</w:t>
            </w:r>
          </w:hyperlink>
          <w:r/>
          <w:r/>
        </w:p>
        <w:p>
          <w:pPr>
            <w:pStyle w:val="946"/>
            <w:pBdr/>
            <w:tabs>
              <w:tab w:val="clear" w:leader="none" w:pos="8510"/>
              <w:tab w:val="right" w:leader="dot" w:pos="9359"/>
            </w:tabs>
            <w:spacing/>
            <w:ind/>
            <w:rPr/>
          </w:pPr>
          <w:r/>
          <w:hyperlink w:tooltip="Endpoint management integration" w:anchor="__RefHeading___Toc2617_2076133143" w:history="1">
            <w:r>
              <w:rPr>
                <w:rStyle w:val="915"/>
              </w:rPr>
              <w:t xml:space="preserve">Endpoint management integration</w:t>
              <w:tab/>
              <w:t xml:space="preserve">48</w:t>
            </w:r>
          </w:hyperlink>
          <w:r/>
          <w:r/>
        </w:p>
        <w:p>
          <w:pPr>
            <w:pStyle w:val="946"/>
            <w:pBdr/>
            <w:tabs>
              <w:tab w:val="clear" w:leader="none" w:pos="8510"/>
              <w:tab w:val="right" w:leader="dot" w:pos="9359"/>
            </w:tabs>
            <w:spacing/>
            <w:ind/>
            <w:rPr/>
          </w:pPr>
          <w:r/>
          <w:hyperlink w:tooltip="Scalability bottlenecks and mitigation" w:anchor="__RefHeading___Toc2619_2076133143" w:history="1">
            <w:r>
              <w:rPr>
                <w:rStyle w:val="915"/>
              </w:rPr>
              <w:t xml:space="preserve">Scalability bottlenecks and mitigation</w:t>
              <w:tab/>
              <w:t xml:space="preserve">49</w:t>
            </w:r>
          </w:hyperlink>
          <w:r/>
          <w:r/>
        </w:p>
        <w:p>
          <w:pPr>
            <w:pStyle w:val="946"/>
            <w:pBdr/>
            <w:tabs>
              <w:tab w:val="clear" w:leader="none" w:pos="8510"/>
              <w:tab w:val="right" w:leader="dot" w:pos="9359"/>
            </w:tabs>
            <w:spacing/>
            <w:ind/>
            <w:rPr/>
          </w:pPr>
          <w:r/>
          <w:hyperlink w:tooltip="Reliability engineering for endpoint security tools" w:anchor="__RefHeading___Toc2621_2076133143" w:history="1">
            <w:r>
              <w:rPr>
                <w:rStyle w:val="915"/>
              </w:rPr>
              <w:t xml:space="preserve">Reliability engineering for endpoint security tools</w:t>
              <w:tab/>
              <w:t xml:space="preserve">49</w:t>
            </w:r>
          </w:hyperlink>
          <w:r/>
          <w:r/>
        </w:p>
        <w:p>
          <w:pPr>
            <w:pStyle w:val="946"/>
            <w:pBdr/>
            <w:tabs>
              <w:tab w:val="clear" w:leader="none" w:pos="8510"/>
              <w:tab w:val="right" w:leader="dot" w:pos="9359"/>
            </w:tabs>
            <w:spacing/>
            <w:ind/>
            <w:rPr/>
          </w:pPr>
          <w:r/>
          <w:hyperlink w:tooltip="Cost and value framing" w:anchor="__RefHeading___Toc2623_2076133143" w:history="1">
            <w:r>
              <w:rPr>
                <w:rStyle w:val="915"/>
              </w:rPr>
              <w:t xml:space="preserve">Cost and value framing</w:t>
              <w:tab/>
              <w:t xml:space="preserve">49</w:t>
            </w:r>
          </w:hyperlink>
          <w:r/>
          <w:r/>
        </w:p>
        <w:p>
          <w:pPr>
            <w:pStyle w:val="946"/>
            <w:pBdr/>
            <w:tabs>
              <w:tab w:val="clear" w:leader="none" w:pos="8510"/>
              <w:tab w:val="right" w:leader="dot" w:pos="9359"/>
            </w:tabs>
            <w:spacing/>
            <w:ind/>
            <w:rPr/>
          </w:pPr>
          <w:r/>
          <w:hyperlink w:tooltip="Change adoption strategy" w:anchor="__RefHeading___Toc2625_2076133143" w:history="1">
            <w:r>
              <w:rPr>
                <w:rStyle w:val="915"/>
              </w:rPr>
              <w:t xml:space="preserve">Change adoption strategy</w:t>
              <w:tab/>
              <w:t xml:space="preserve">49</w:t>
            </w:r>
          </w:hyperlink>
          <w:r/>
          <w:r/>
        </w:p>
        <w:p>
          <w:pPr>
            <w:pStyle w:val="946"/>
            <w:pBdr/>
            <w:tabs>
              <w:tab w:val="clear" w:leader="none" w:pos="8510"/>
              <w:tab w:val="right" w:leader="dot" w:pos="9359"/>
            </w:tabs>
            <w:spacing/>
            <w:ind/>
            <w:rPr/>
          </w:pPr>
          <w:r/>
          <w:hyperlink w:tooltip="Scalability research directions" w:anchor="__RefHeading___Toc2627_2076133143" w:history="1">
            <w:r>
              <w:rPr>
                <w:rStyle w:val="915"/>
              </w:rPr>
              <w:t xml:space="preserve">Scalability research directions</w:t>
              <w:tab/>
              <w:t xml:space="preserve">50</w:t>
            </w:r>
          </w:hyperlink>
          <w:r/>
          <w:r/>
        </w:p>
        <w:p>
          <w:pPr>
            <w:pStyle w:val="945"/>
            <w:pBdr/>
            <w:tabs>
              <w:tab w:val="clear" w:leader="none" w:pos="8793"/>
              <w:tab w:val="right" w:leader="dot" w:pos="9359"/>
            </w:tabs>
            <w:spacing/>
            <w:ind/>
            <w:rPr/>
          </w:pPr>
          <w:r/>
          <w:hyperlink w:tooltip="Q. Extended Closing Synthesis" w:anchor="__RefHeading___Toc2629_2076133143" w:history="1">
            <w:r>
              <w:rPr>
                <w:rStyle w:val="915"/>
              </w:rPr>
              <w:t xml:space="preserve">Q. Extended Closing Synthesis</w:t>
              <w:tab/>
              <w:t xml:space="preserve">50</w:t>
            </w:r>
          </w:hyperlink>
          <w:r/>
          <w:r/>
        </w:p>
        <w:p>
          <w:pPr>
            <w:pStyle w:val="945"/>
            <w:pBdr/>
            <w:tabs>
              <w:tab w:val="clear" w:leader="none" w:pos="8793"/>
              <w:tab w:val="right" w:leader="dot" w:pos="9359"/>
            </w:tabs>
            <w:spacing/>
            <w:ind/>
            <w:rPr/>
          </w:pPr>
          <w:r/>
          <w:hyperlink w:tooltip="R. Comprehensive Comparative Analysis and Lessons for Future Implementation" w:anchor="__RefHeading___Toc2631_2076133143" w:history="1">
            <w:r>
              <w:rPr>
                <w:rStyle w:val="915"/>
              </w:rPr>
              <w:t xml:space="preserve">R. Comprehensive Comparative Analysis and Lessons for Future Implementation</w:t>
              <w:tab/>
              <w:t xml:space="preserve">50</w:t>
            </w:r>
          </w:hyperlink>
          <w:r/>
          <w:r/>
        </w:p>
        <w:p>
          <w:pPr>
            <w:pStyle w:val="946"/>
            <w:pBdr/>
            <w:tabs>
              <w:tab w:val="clear" w:leader="none" w:pos="8510"/>
              <w:tab w:val="right" w:leader="dot" w:pos="9359"/>
            </w:tabs>
            <w:spacing/>
            <w:ind/>
            <w:rPr/>
          </w:pPr>
          <w:r/>
          <w:hyperlink w:tooltip="R1. Comparative models for clipboard protection" w:anchor="__RefHeading___Toc2633_2076133143" w:history="1">
            <w:r>
              <w:rPr>
                <w:rStyle w:val="915"/>
              </w:rPr>
              <w:t xml:space="preserve">R1. Comparative models for clipboard protection</w:t>
              <w:tab/>
              <w:t xml:space="preserve">50</w:t>
            </w:r>
          </w:hyperlink>
          <w:r/>
          <w:r/>
        </w:p>
        <w:p>
          <w:pPr>
            <w:pStyle w:val="946"/>
            <w:pBdr/>
            <w:tabs>
              <w:tab w:val="clear" w:leader="none" w:pos="8510"/>
              <w:tab w:val="right" w:leader="dot" w:pos="9359"/>
            </w:tabs>
            <w:spacing/>
            <w:ind/>
            <w:rPr/>
          </w:pPr>
          <w:r/>
          <w:hyperlink w:tooltip="R2. Comparative criteria and interpretation" w:anchor="__RefHeading___Toc2635_2076133143" w:history="1">
            <w:r>
              <w:rPr>
                <w:rStyle w:val="915"/>
              </w:rPr>
              <w:t xml:space="preserve">R2. Comparative criteria and interpretation</w:t>
              <w:tab/>
              <w:t xml:space="preserve">51</w:t>
            </w:r>
          </w:hyperlink>
          <w:r/>
          <w:r/>
        </w:p>
        <w:p>
          <w:pPr>
            <w:pStyle w:val="946"/>
            <w:pBdr/>
            <w:tabs>
              <w:tab w:val="clear" w:leader="none" w:pos="8510"/>
              <w:tab w:val="right" w:leader="dot" w:pos="9359"/>
            </w:tabs>
            <w:spacing/>
            <w:ind/>
            <w:rPr/>
          </w:pPr>
          <w:r/>
          <w:hyperlink w:tooltip="R3. Economic perspective and cost-benefit framing" w:anchor="__RefHeading___Toc2637_2076133143" w:history="1">
            <w:r>
              <w:rPr>
                <w:rStyle w:val="915"/>
              </w:rPr>
              <w:t xml:space="preserve">R3. Economic perspective and cost-benefit framing</w:t>
              <w:tab/>
              <w:t xml:space="preserve">51</w:t>
            </w:r>
          </w:hyperlink>
          <w:r/>
          <w:r/>
        </w:p>
        <w:p>
          <w:pPr>
            <w:pStyle w:val="946"/>
            <w:pBdr/>
            <w:tabs>
              <w:tab w:val="clear" w:leader="none" w:pos="8510"/>
              <w:tab w:val="right" w:leader="dot" w:pos="9359"/>
            </w:tabs>
            <w:spacing/>
            <w:ind/>
            <w:rPr/>
          </w:pPr>
          <w:r/>
          <w:hyperlink w:tooltip="R4. Organizational behavior and change management lessons" w:anchor="__RefHeading___Toc2639_2076133143" w:history="1">
            <w:r>
              <w:rPr>
                <w:rStyle w:val="915"/>
              </w:rPr>
              <w:t xml:space="preserve">R4. Organizational behavior and change management lessons</w:t>
              <w:tab/>
              <w:t xml:space="preserve">52</w:t>
            </w:r>
          </w:hyperlink>
          <w:r/>
          <w:r/>
        </w:p>
        <w:p>
          <w:pPr>
            <w:pStyle w:val="946"/>
            <w:pBdr/>
            <w:tabs>
              <w:tab w:val="clear" w:leader="none" w:pos="8510"/>
              <w:tab w:val="right" w:leader="dot" w:pos="9359"/>
            </w:tabs>
            <w:spacing/>
            <w:ind/>
            <w:rPr/>
          </w:pPr>
          <w:r/>
          <w:hyperlink w:tooltip="R5. Secure software engineering lessons" w:anchor="__RefHeading___Toc2641_2076133143" w:history="1">
            <w:r>
              <w:rPr>
                <w:rStyle w:val="915"/>
              </w:rPr>
              <w:t xml:space="preserve">R5. Secure software engineering lessons</w:t>
              <w:tab/>
              <w:t xml:space="preserve">52</w:t>
            </w:r>
          </w:hyperlink>
          <w:r/>
          <w:r/>
        </w:p>
        <w:p>
          <w:pPr>
            <w:pStyle w:val="946"/>
            <w:pBdr/>
            <w:tabs>
              <w:tab w:val="clear" w:leader="none" w:pos="8510"/>
              <w:tab w:val="right" w:leader="dot" w:pos="9359"/>
            </w:tabs>
            <w:spacing/>
            <w:ind/>
            <w:rPr/>
          </w:pPr>
          <w:r/>
          <w:hyperlink w:tooltip="R6. Security operations lessons" w:anchor="__RefHeading___Toc2643_2076133143" w:history="1">
            <w:r>
              <w:rPr>
                <w:rStyle w:val="915"/>
              </w:rPr>
              <w:t xml:space="preserve">R6. Security operations lessons</w:t>
              <w:tab/>
              <w:t xml:space="preserve">53</w:t>
            </w:r>
          </w:hyperlink>
          <w:r/>
          <w:r/>
        </w:p>
        <w:p>
          <w:pPr>
            <w:pStyle w:val="946"/>
            <w:pBdr/>
            <w:tabs>
              <w:tab w:val="clear" w:leader="none" w:pos="8510"/>
              <w:tab w:val="right" w:leader="dot" w:pos="9359"/>
            </w:tabs>
            <w:spacing/>
            <w:ind/>
            <w:rPr/>
          </w:pPr>
          <w:r/>
          <w:hyperlink w:tooltip="R7. Policy design lessons" w:anchor="__RefHeading___Toc2645_2076133143" w:history="1">
            <w:r>
              <w:rPr>
                <w:rStyle w:val="915"/>
              </w:rPr>
              <w:t xml:space="preserve">R7. Policy design lessons</w:t>
              <w:tab/>
              <w:t xml:space="preserve">53</w:t>
            </w:r>
          </w:hyperlink>
          <w:r/>
          <w:r/>
        </w:p>
        <w:p>
          <w:pPr>
            <w:pStyle w:val="946"/>
            <w:pBdr/>
            <w:tabs>
              <w:tab w:val="clear" w:leader="none" w:pos="8510"/>
              <w:tab w:val="right" w:leader="dot" w:pos="9359"/>
            </w:tabs>
            <w:spacing/>
            <w:ind/>
            <w:rPr/>
          </w:pPr>
          <w:r/>
          <w:hyperlink w:tooltip="R8. Measurement and accountability lessons" w:anchor="__RefHeading___Toc2647_2076133143" w:history="1">
            <w:r>
              <w:rPr>
                <w:rStyle w:val="915"/>
              </w:rPr>
              <w:t xml:space="preserve">R8. Measurement and accountability lessons</w:t>
              <w:tab/>
              <w:t xml:space="preserve">53</w:t>
            </w:r>
          </w:hyperlink>
          <w:r/>
          <w:r/>
        </w:p>
        <w:p>
          <w:pPr>
            <w:pStyle w:val="946"/>
            <w:pBdr/>
            <w:tabs>
              <w:tab w:val="clear" w:leader="none" w:pos="8510"/>
              <w:tab w:val="right" w:leader="dot" w:pos="9359"/>
            </w:tabs>
            <w:spacing/>
            <w:ind/>
            <w:rPr/>
          </w:pPr>
          <w:r/>
          <w:hyperlink w:tooltip="R9. Legal and ethical maturity lessons" w:anchor="__RefHeading___Toc2649_2076133143" w:history="1">
            <w:r>
              <w:rPr>
                <w:rStyle w:val="915"/>
              </w:rPr>
              <w:t xml:space="preserve">R9. Legal and ethical maturity lessons</w:t>
              <w:tab/>
              <w:t xml:space="preserve">54</w:t>
            </w:r>
          </w:hyperlink>
          <w:r/>
          <w:r/>
        </w:p>
        <w:p>
          <w:pPr>
            <w:pStyle w:val="946"/>
            <w:pBdr/>
            <w:tabs>
              <w:tab w:val="clear" w:leader="none" w:pos="8510"/>
              <w:tab w:val="right" w:leader="dot" w:pos="9359"/>
            </w:tabs>
            <w:spacing/>
            <w:ind/>
            <w:rPr/>
          </w:pPr>
          <w:r/>
          <w:hyperlink w:tooltip="R10. Academic contributions of this coursework deliverable" w:anchor="__RefHeading___Toc2651_2076133143" w:history="1">
            <w:r>
              <w:rPr>
                <w:rStyle w:val="915"/>
              </w:rPr>
              <w:t xml:space="preserve">R10. Academic contributions of this coursework deliverable</w:t>
              <w:tab/>
              <w:t xml:space="preserve">54</w:t>
            </w:r>
          </w:hyperlink>
          <w:r/>
          <w:r/>
        </w:p>
        <w:p>
          <w:pPr>
            <w:pStyle w:val="946"/>
            <w:pBdr/>
            <w:tabs>
              <w:tab w:val="clear" w:leader="none" w:pos="8510"/>
              <w:tab w:val="right" w:leader="dot" w:pos="9359"/>
            </w:tabs>
            <w:spacing/>
            <w:ind/>
            <w:rPr/>
          </w:pPr>
          <w:r/>
          <w:hyperlink w:tooltip="R11. Limitations of comparative interpretation" w:anchor="__RefHeading___Toc2653_2076133143" w:history="1">
            <w:r>
              <w:rPr>
                <w:rStyle w:val="915"/>
              </w:rPr>
              <w:t xml:space="preserve">R11. Limitations of comparative interpretation</w:t>
              <w:tab/>
              <w:t xml:space="preserve">54</w:t>
            </w:r>
          </w:hyperlink>
          <w:r/>
          <w:r/>
        </w:p>
        <w:p>
          <w:pPr>
            <w:pStyle w:val="946"/>
            <w:pBdr/>
            <w:tabs>
              <w:tab w:val="clear" w:leader="none" w:pos="8510"/>
              <w:tab w:val="right" w:leader="dot" w:pos="9359"/>
            </w:tabs>
            <w:spacing/>
            <w:ind/>
            <w:rPr/>
          </w:pPr>
          <w:r/>
          <w:hyperlink w:tooltip="R12. Integrated roadmap summary" w:anchor="__RefHeading___Toc2655_2076133143" w:history="1">
            <w:r>
              <w:rPr>
                <w:rStyle w:val="915"/>
              </w:rPr>
              <w:t xml:space="preserve">R12. Integrated roadmap summary</w:t>
              <w:tab/>
              <w:t xml:space="preserve">54</w:t>
            </w:r>
          </w:hyperlink>
          <w:r/>
          <w:r/>
        </w:p>
        <w:p>
          <w:pPr>
            <w:pStyle w:val="946"/>
            <w:pBdr/>
            <w:tabs>
              <w:tab w:val="clear" w:leader="none" w:pos="8510"/>
              <w:tab w:val="right" w:leader="dot" w:pos="9359"/>
            </w:tabs>
            <w:spacing/>
            <w:ind/>
            <w:rPr/>
          </w:pPr>
          <w:r/>
          <w:hyperlink w:tooltip="R13. Final reflective conclusion for coursework alignment" w:anchor="__RefHeading___Toc2657_2076133143" w:history="1">
            <w:r>
              <w:rPr>
                <w:rStyle w:val="915"/>
              </w:rPr>
              <w:t xml:space="preserve">R13. Final reflective conclusion for coursework alignment</w:t>
              <w:tab/>
              <w:t xml:space="preserve">55</w:t>
            </w:r>
          </w:hyperlink>
          <w:r>
            <w:rPr>
              <w:rStyle w:val="915"/>
            </w:rPr>
            <w:fldChar w:fldCharType="end"/>
          </w:r>
          <w:r/>
        </w:p>
      </w:sdtContent>
    </w:sdt>
    <w:p>
      <w:pPr>
        <w:pStyle w:val="856"/>
        <w:pBdr/>
        <w:spacing/>
        <w:ind/>
        <w:rPr/>
      </w:pPr>
      <w:r/>
      <w:bookmarkEnd w:id="12"/>
      <w:r/>
      <w:r/>
    </w:p>
    <w:p>
      <w:pPr>
        <w:pStyle w:val="858"/>
        <w:pBdr/>
        <w:spacing/>
        <w:ind/>
        <w:rPr/>
      </w:pPr>
      <w:r/>
      <w:r>
        <w:br w:type="page" w:clear="all"/>
      </w:r>
      <w:r/>
    </w:p>
    <w:p>
      <w:pPr>
        <w:pStyle w:val="858"/>
        <w:pBdr/>
        <w:spacing/>
        <w:ind/>
        <w:rPr/>
      </w:pPr>
      <w:r/>
      <w:bookmarkStart w:id="13" w:name="__RefHeading___Toc2375_2076133143"/>
      <w:r/>
      <w:bookmarkStart w:id="14" w:name="list-of-figures-and-tables"/>
      <w:r/>
      <w:bookmarkEnd w:id="13"/>
      <w:r>
        <w:t xml:space="preserve">List of Figures and Tables</w:t>
      </w:r>
      <w:r/>
    </w:p>
    <w:p>
      <w:pPr>
        <w:pStyle w:val="921"/>
        <w:pBdr/>
        <w:spacing/>
        <w:ind/>
        <w:rPr/>
      </w:pPr>
      <w:r>
        <w:t xml:space="preserve">Figure 1. High-level architecture of the Cli</w:t>
      </w:r>
      <w:r>
        <w:t xml:space="preserve">pboard DLP system</w:t>
        <w:br/>
        <w:t xml:space="preserve">Figure 2. Project timeline (phased)</w:t>
        <w:br/>
        <w:t xml:space="preserve">Table 1. In-scope and out-of-scope boundaries</w:t>
        <w:br/>
        <w:t xml:space="preserve">Table 2. Detection categories and mapped risk levels</w:t>
        <w:br/>
        <w:t xml:space="preserve">Table 3. Risk register and mitigations</w:t>
        <w:br/>
        <w:t xml:space="preserve">Table 4. Budget and cost estimate</w:t>
        <w:br/>
        <w:t xml:space="preserve">Table 5. Test evidence summary</w:t>
      </w:r>
      <w:r>
        <w:t xml:space="preserve"> </w:t>
      </w:r>
      <w:r/>
    </w:p>
    <w:p w14:paraId="7F25DB11">
      <w:pPr>
        <w:pBdr/>
        <w:shd w:val="nil"/>
        <w:spacing/>
        <w:ind/>
        <w:rPr/>
      </w:pPr>
      <w:r>
        <w:br w:type="page" w:clear="all"/>
      </w:r>
      <w:r/>
      <w:r/>
    </w:p>
    <w:p>
      <w:pPr>
        <w:pStyle w:val="858"/>
        <w:pBdr/>
        <w:spacing/>
        <w:ind/>
        <w:rPr/>
      </w:pPr>
      <w:r/>
      <w:bookmarkStart w:id="15" w:name="__RefHeading___Toc2377_2076133143"/>
      <w:r/>
      <w:bookmarkStart w:id="16" w:name="introduction"/>
      <w:r/>
      <w:bookmarkEnd w:id="15"/>
      <w:r>
        <w:t xml:space="preserve">Introduction</w:t>
      </w:r>
      <w:r/>
    </w:p>
    <w:p>
      <w:pPr>
        <w:pStyle w:val="859"/>
        <w:pBdr/>
        <w:spacing/>
        <w:ind/>
        <w:rPr/>
      </w:pPr>
      <w:r/>
      <w:bookmarkStart w:id="17" w:name="__RefHeading___Toc2379_2076133143"/>
      <w:r/>
      <w:bookmarkStart w:id="18" w:name="background-and-context"/>
      <w:r/>
      <w:bookmarkEnd w:id="17"/>
      <w:r>
        <w:t xml:space="preserve">Background and Context</w:t>
      </w:r>
      <w:r/>
    </w:p>
    <w:p>
      <w:pPr>
        <w:pStyle w:val="921"/>
        <w:pBdr/>
        <w:spacing/>
        <w:ind/>
        <w:rPr/>
      </w:pPr>
      <w:r>
        <w:t xml:space="preserve">C</w:t>
      </w:r>
      <w:r>
        <w:t xml:space="preserve">lipboard operations are fundamental to modern digital workflows but are often trusted by default. In enterprise and personal settings, users frequently copy passwords, API tokens, customer data, and payment identifiers. Threat actors exploit this behavior </w:t>
      </w:r>
      <w:r>
        <w:t xml:space="preserve">through clipboard hijacking malware (for example, ClipBanker), passive monitoring trojans, and social engineering chains. Even without malware, accidental pasting into chat tools, ticketing systems, or public terminals can cause confidential data exposure.</w:t>
      </w:r>
      <w:r/>
    </w:p>
    <w:p>
      <w:pPr>
        <w:pStyle w:val="917"/>
        <w:pBdr/>
        <w:spacing/>
        <w:ind/>
        <w:rPr/>
      </w:pPr>
      <w:r>
        <w:t xml:space="preserve">Conventional endpoint security controls (antivirus, network controls, and identity systems) do not always provide visibility into clipboard events. Therefore, clipboard-focused endpoint controls represent a practical gap in cyber-defense coverage.</w:t>
      </w:r>
      <w:bookmarkEnd w:id="18"/>
      <w:r/>
      <w:r/>
    </w:p>
    <w:p>
      <w:pPr>
        <w:pStyle w:val="859"/>
        <w:pBdr/>
        <w:spacing/>
        <w:ind/>
        <w:rPr/>
      </w:pPr>
      <w:r/>
      <w:bookmarkStart w:id="19" w:name="__RefHeading___Toc2381_2076133143"/>
      <w:r/>
      <w:bookmarkStart w:id="20" w:name="problem-statement"/>
      <w:r/>
      <w:bookmarkEnd w:id="19"/>
      <w:r>
        <w:t xml:space="preserve">Problem Statement</w:t>
      </w:r>
      <w:r/>
    </w:p>
    <w:p>
      <w:pPr>
        <w:pStyle w:val="921"/>
        <w:pBdr/>
        <w:spacing/>
        <w:ind/>
        <w:rPr/>
      </w:pPr>
      <w:r>
        <w:t xml:space="preserve">Organizations and individuals lack lightweight, transparent controls to detect and reduce leakage of sensitive information through clipboard usage. The project addresses:</w:t>
      </w:r>
      <w:r/>
    </w:p>
    <w:p>
      <w:pPr>
        <w:pStyle w:val="922"/>
        <w:numPr>
          <w:ilvl w:val="0"/>
          <w:numId w:val="2"/>
        </w:numPr>
        <w:pBdr/>
        <w:spacing/>
        <w:ind/>
        <w:rPr/>
      </w:pPr>
      <w:r>
        <w:t xml:space="preserve">How can copied content be inspected rapidly without significant user friction?</w:t>
      </w:r>
      <w:r/>
    </w:p>
    <w:p>
      <w:pPr>
        <w:pStyle w:val="922"/>
        <w:numPr>
          <w:ilvl w:val="0"/>
          <w:numId w:val="2"/>
        </w:numPr>
        <w:pBdr/>
        <w:spacing/>
        <w:ind/>
        <w:rPr/>
      </w:pPr>
      <w:r>
        <w:t xml:space="preserve">Which detection strategies are feasible in a lightweight academic prototype?</w:t>
      </w:r>
      <w:r/>
    </w:p>
    <w:p>
      <w:pPr>
        <w:pStyle w:val="922"/>
        <w:numPr>
          <w:ilvl w:val="0"/>
          <w:numId w:val="2"/>
        </w:numPr>
        <w:pBdr/>
        <w:spacing/>
        <w:ind/>
        <w:rPr/>
      </w:pPr>
      <w:r>
        <w:t xml:space="preserve">What response mechanisms improve security while preserving usability?</w:t>
      </w:r>
      <w:bookmarkEnd w:id="20"/>
      <w:r/>
      <w:r/>
    </w:p>
    <w:p>
      <w:pPr>
        <w:pStyle w:val="859"/>
        <w:pBdr/>
        <w:spacing/>
        <w:ind/>
        <w:rPr/>
      </w:pPr>
      <w:r/>
      <w:bookmarkStart w:id="21" w:name="__RefHeading___Toc2383_2076133143"/>
      <w:r/>
      <w:bookmarkStart w:id="22" w:name="aim-and-objectives"/>
      <w:r/>
      <w:bookmarkEnd w:id="21"/>
      <w:r>
        <w:t xml:space="preserve">Aim and Objectives</w:t>
      </w:r>
      <w:r/>
    </w:p>
    <w:p>
      <w:pPr>
        <w:pStyle w:val="921"/>
        <w:pBdr/>
        <w:spacing/>
        <w:ind/>
        <w:rPr/>
      </w:pPr>
      <w:r>
        <w:t xml:space="preserve">Aim: Design, implement, and evaluate a clipboard-focused DLP prototype that detects sensitive copied content and improves endpoint-level security awareness.</w:t>
      </w:r>
      <w:r/>
    </w:p>
    <w:p>
      <w:pPr>
        <w:pStyle w:val="917"/>
        <w:pBdr/>
        <w:spacing/>
        <w:ind/>
        <w:rPr/>
      </w:pPr>
      <w:r>
        <w:t xml:space="preserve">Objectives:</w:t>
      </w:r>
      <w:r/>
    </w:p>
    <w:p>
      <w:pPr>
        <w:pStyle w:val="922"/>
        <w:numPr>
          <w:ilvl w:val="0"/>
          <w:numId w:val="84"/>
        </w:numPr>
        <w:pBdr/>
        <w:spacing/>
        <w:ind/>
        <w:rPr/>
      </w:pPr>
      <w:r>
        <w:t xml:space="preserve">Implement continuous clipboard monitoring in Python.</w:t>
      </w:r>
      <w:r/>
    </w:p>
    <w:p>
      <w:pPr>
        <w:pStyle w:val="922"/>
        <w:numPr>
          <w:ilvl w:val="0"/>
          <w:numId w:val="1"/>
        </w:numPr>
        <w:pBdr/>
        <w:spacing/>
        <w:ind/>
        <w:rPr/>
      </w:pPr>
      <w:r>
        <w:t xml:space="preserve">Detect sensitive strings using regex, optional YARA rules, and entropy heuristics.</w:t>
      </w:r>
      <w:r/>
    </w:p>
    <w:p>
      <w:pPr>
        <w:pStyle w:val="922"/>
        <w:numPr>
          <w:ilvl w:val="0"/>
          <w:numId w:val="1"/>
        </w:numPr>
        <w:pBdr/>
        <w:spacing/>
        <w:ind/>
        <w:rPr/>
      </w:pPr>
      <w:r>
        <w:t xml:space="preserve">Classify and summarize detection outcomes for users.</w:t>
      </w:r>
      <w:r/>
    </w:p>
    <w:p>
      <w:pPr>
        <w:pStyle w:val="922"/>
        <w:numPr>
          <w:ilvl w:val="0"/>
          <w:numId w:val="1"/>
        </w:numPr>
        <w:pBdr/>
        <w:spacing/>
        <w:ind/>
        <w:rPr/>
      </w:pPr>
      <w:r>
        <w:t xml:space="preserve">Provide a user interface for review, search, and controlled export.</w:t>
      </w:r>
      <w:r/>
    </w:p>
    <w:p>
      <w:pPr>
        <w:pStyle w:val="922"/>
        <w:numPr>
          <w:ilvl w:val="0"/>
          <w:numId w:val="1"/>
        </w:numPr>
        <w:pBdr/>
        <w:spacing/>
        <w:ind/>
        <w:rPr/>
      </w:pPr>
      <w:r>
        <w:t xml:space="preserve">Record evidence of functionality using automated tests and scenario-based analysis.</w:t>
      </w:r>
      <w:r/>
    </w:p>
    <w:p>
      <w:pPr>
        <w:pStyle w:val="922"/>
        <w:numPr>
          <w:ilvl w:val="0"/>
          <w:numId w:val="1"/>
        </w:numPr>
        <w:pBdr/>
        <w:spacing/>
        <w:ind/>
        <w:rPr/>
      </w:pPr>
      <w:r>
        <w:t xml:space="preserve">Evaluate technical, ethical, legal, and operational implications.</w:t>
      </w:r>
      <w:bookmarkEnd w:id="22"/>
      <w:r/>
      <w:r/>
    </w:p>
    <w:p>
      <w:pPr>
        <w:pStyle w:val="859"/>
        <w:pBdr/>
        <w:spacing/>
        <w:ind/>
        <w:rPr/>
      </w:pPr>
      <w:r/>
      <w:bookmarkStart w:id="23" w:name="__RefHeading___Toc2385_2076133143"/>
      <w:r/>
      <w:bookmarkStart w:id="24" w:name="justification"/>
      <w:r/>
      <w:bookmarkEnd w:id="23"/>
      <w:r>
        <w:t xml:space="preserve">Justification</w:t>
      </w:r>
      <w:r/>
    </w:p>
    <w:p>
      <w:pPr>
        <w:pStyle w:val="921"/>
        <w:pBdr/>
        <w:spacing/>
        <w:ind/>
        <w:rPr/>
      </w:pPr>
      <w:r>
        <w:t xml:space="preserve">The project contrib</w:t>
      </w:r>
      <w:r>
        <w:t xml:space="preserve">utes to practical cybersecurity by focusing on an often-neglected exfiltration path. It demonstrates how low-cost, open-source components can deliver measurable defensive value and establishes a foundation for future enterprise-scale endpoint DLP controls.</w:t>
      </w:r>
      <w:r/>
    </w:p>
    <w:p>
      <w:pPr>
        <w:pStyle w:val="856"/>
        <w:pBdr/>
        <w:spacing/>
        <w:ind/>
        <w:rPr/>
      </w:pPr>
      <w:r/>
      <w:bookmarkEnd w:id="16"/>
      <w:r/>
      <w:bookmarkEnd w:id="24"/>
      <w:r/>
      <w:r/>
    </w:p>
    <w:p>
      <w:pPr>
        <w:pStyle w:val="858"/>
        <w:pBdr/>
        <w:spacing/>
        <w:ind/>
        <w:rPr/>
      </w:pPr>
      <w:r/>
      <w:bookmarkStart w:id="25" w:name="__RefHeading___Toc2387_2076133143"/>
      <w:r/>
      <w:bookmarkStart w:id="26" w:name="scope"/>
      <w:r/>
      <w:bookmarkEnd w:id="25"/>
      <w:r>
        <w:t xml:space="preserve">Scope</w:t>
      </w:r>
      <w:r/>
    </w:p>
    <w:p>
      <w:pPr>
        <w:pStyle w:val="921"/>
        <w:pBdr/>
        <w:spacing/>
        <w:ind/>
        <w:rPr/>
      </w:pPr>
      <w:r>
        <w:t xml:space="preserve">Table 1. In-scope and out-of-scope boundaries.</w:t>
      </w:r>
      <w:r/>
    </w:p>
    <w:tbl>
      <w:tblPr>
        <w:tblStyle w:val="947"/>
        <w:tblInd w:w="0" w:type="dxa"/>
        <w:tblW w:w="5000" w:type="pct"/>
        <w:tblCellMar>
          <w:left w:w="108" w:type="dxa"/>
          <w:top w:w="0" w:type="dxa"/>
          <w:right w:w="108" w:type="dxa"/>
          <w:bottom w:w="0" w:type="dxa"/>
        </w:tblCellMar>
        <w:tblBorders/>
        <w:tblLayout w:type="fixed"/>
        <w:tblLook w:val="0020" w:firstRow="1" w:lastRow="0" w:firstColumn="0" w:lastColumn="0" w:noHBand="0" w:noVBand="0"/>
      </w:tblPr>
      <w:tblGrid>
        <w:gridCol w:w="3120"/>
        <w:gridCol w:w="3120"/>
        <w:gridCol w:w="3120"/>
      </w:tblGrid>
      <w:tr>
        <w:trPr>
          <w:tblHeader/>
        </w:trPr>
        <w:tc>
          <w:tcPr>
            <w:tcBorders>
              <w:bottom w:val="single" w:color="000000" w:sz="6" w:space="0"/>
            </w:tcBorders>
            <w:tcW w:w="3120" w:type="dxa"/>
            <w:vAlign w:val="bottom"/>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Area</w:t>
            </w:r>
            <w:r>
              <w:rPr>
                <w:rFonts w:ascii="Aptos" w:hAnsi="Aptos"/>
                <w:sz w:val="24"/>
                <w:szCs w:val="24"/>
                <w:lang w:val="en-US" w:eastAsia="zh-CN" w:bidi="ar-SA"/>
              </w:rPr>
            </w:r>
          </w:p>
        </w:tc>
        <w:tc>
          <w:tcPr>
            <w:tcBorders>
              <w:bottom w:val="single" w:color="000000" w:sz="6" w:space="0"/>
            </w:tcBorders>
            <w:tcW w:w="3120" w:type="dxa"/>
            <w:vAlign w:val="bottom"/>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In Scope</w:t>
            </w:r>
            <w:r>
              <w:rPr>
                <w:rFonts w:ascii="Aptos" w:hAnsi="Aptos"/>
                <w:sz w:val="24"/>
                <w:szCs w:val="24"/>
                <w:lang w:val="en-US" w:eastAsia="zh-CN" w:bidi="ar-SA"/>
              </w:rPr>
            </w:r>
          </w:p>
        </w:tc>
        <w:tc>
          <w:tcPr>
            <w:tcBorders>
              <w:bottom w:val="single" w:color="000000" w:sz="6" w:space="0"/>
            </w:tcBorders>
            <w:tcW w:w="3120" w:type="dxa"/>
            <w:vAlign w:val="bottom"/>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Out of Scope</w:t>
            </w:r>
            <w:r>
              <w:rPr>
                <w:rFonts w:ascii="Aptos" w:hAnsi="Aptos"/>
                <w:sz w:val="24"/>
                <w:szCs w:val="24"/>
                <w:lang w:val="en-US" w:eastAsia="zh-CN" w:bidi="ar-SA"/>
              </w:rPr>
            </w:r>
          </w:p>
        </w:tc>
      </w:tr>
      <w:tr>
        <w:trPr/>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Platforms</w:t>
            </w:r>
            <w:r>
              <w:rPr>
                <w:rFonts w:ascii="Aptos" w:hAnsi="Aptos"/>
                <w:sz w:val="24"/>
                <w:szCs w:val="24"/>
                <w:lang w:val="en-US" w:eastAsia="zh-CN" w:bidi="ar-SA"/>
              </w:rPr>
            </w:r>
          </w:p>
        </w:tc>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Linux and Windows-oriented behavior in Python design</w:t>
            </w:r>
            <w:r>
              <w:rPr>
                <w:rFonts w:ascii="Aptos" w:hAnsi="Aptos"/>
                <w:sz w:val="24"/>
                <w:szCs w:val="24"/>
                <w:lang w:val="en-US" w:eastAsia="zh-CN" w:bidi="ar-SA"/>
              </w:rPr>
            </w:r>
          </w:p>
        </w:tc>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Full production support across all OS variants</w:t>
            </w:r>
            <w:r>
              <w:rPr>
                <w:rFonts w:ascii="Aptos" w:hAnsi="Aptos"/>
                <w:sz w:val="24"/>
                <w:szCs w:val="24"/>
                <w:lang w:val="en-US" w:eastAsia="zh-CN" w:bidi="ar-SA"/>
              </w:rPr>
            </w:r>
          </w:p>
        </w:tc>
      </w:tr>
      <w:tr>
        <w:trPr/>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Detection</w:t>
            </w:r>
            <w:r>
              <w:rPr>
                <w:rFonts w:ascii="Aptos" w:hAnsi="Aptos"/>
                <w:sz w:val="24"/>
                <w:szCs w:val="24"/>
                <w:lang w:val="en-US" w:eastAsia="zh-CN" w:bidi="ar-SA"/>
              </w:rPr>
            </w:r>
          </w:p>
        </w:tc>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Regex patterns, optional YARA integration, entropy scoring</w:t>
            </w:r>
            <w:r>
              <w:rPr>
                <w:rFonts w:ascii="Aptos" w:hAnsi="Aptos"/>
                <w:sz w:val="24"/>
                <w:szCs w:val="24"/>
                <w:lang w:val="en-US" w:eastAsia="zh-CN" w:bidi="ar-SA"/>
              </w:rPr>
            </w:r>
          </w:p>
        </w:tc>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Full NLP/ML semantic classification pipeline</w:t>
            </w:r>
            <w:r>
              <w:rPr>
                <w:rFonts w:ascii="Aptos" w:hAnsi="Aptos"/>
                <w:sz w:val="24"/>
                <w:szCs w:val="24"/>
                <w:lang w:val="en-US" w:eastAsia="zh-CN" w:bidi="ar-SA"/>
              </w:rPr>
            </w:r>
          </w:p>
        </w:tc>
      </w:tr>
      <w:tr>
        <w:trPr/>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Response</w:t>
            </w:r>
            <w:r>
              <w:rPr>
                <w:rFonts w:ascii="Aptos" w:hAnsi="Aptos"/>
                <w:sz w:val="24"/>
                <w:szCs w:val="24"/>
                <w:lang w:val="en-US" w:eastAsia="zh-CN" w:bidi="ar-SA"/>
              </w:rPr>
            </w:r>
          </w:p>
        </w:tc>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Alerting cues, sensitive copy prefixing, local event logging</w:t>
            </w:r>
            <w:r>
              <w:rPr>
                <w:rFonts w:ascii="Aptos" w:hAnsi="Aptos"/>
                <w:sz w:val="24"/>
                <w:szCs w:val="24"/>
                <w:lang w:val="en-US" w:eastAsia="zh-CN" w:bidi="ar-SA"/>
              </w:rPr>
            </w:r>
          </w:p>
        </w:tc>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Kernel-level blocking and enterprise policy orchestration</w:t>
            </w:r>
            <w:r>
              <w:rPr>
                <w:rFonts w:ascii="Aptos" w:hAnsi="Aptos"/>
                <w:sz w:val="24"/>
                <w:szCs w:val="24"/>
                <w:lang w:val="en-US" w:eastAsia="zh-CN" w:bidi="ar-SA"/>
              </w:rPr>
            </w:r>
          </w:p>
        </w:tc>
      </w:tr>
      <w:tr>
        <w:trPr/>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Storage</w:t>
            </w:r>
            <w:r>
              <w:rPr>
                <w:rFonts w:ascii="Aptos" w:hAnsi="Aptos"/>
                <w:sz w:val="24"/>
                <w:szCs w:val="24"/>
                <w:lang w:val="en-US" w:eastAsia="zh-CN" w:bidi="ar-SA"/>
              </w:rPr>
            </w:r>
          </w:p>
        </w:tc>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Local SQLite event history and CSV export</w:t>
            </w:r>
            <w:r>
              <w:rPr>
                <w:rFonts w:ascii="Aptos" w:hAnsi="Aptos"/>
                <w:sz w:val="24"/>
                <w:szCs w:val="24"/>
                <w:lang w:val="en-US" w:eastAsia="zh-CN" w:bidi="ar-SA"/>
              </w:rPr>
            </w:r>
          </w:p>
        </w:tc>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Cloud-scale telemetry pipelines and centralized SOC tooling</w:t>
            </w:r>
            <w:r>
              <w:rPr>
                <w:rFonts w:ascii="Aptos" w:hAnsi="Aptos"/>
                <w:sz w:val="24"/>
                <w:szCs w:val="24"/>
                <w:lang w:val="en-US" w:eastAsia="zh-CN" w:bidi="ar-SA"/>
              </w:rPr>
            </w:r>
          </w:p>
        </w:tc>
      </w:tr>
      <w:tr>
        <w:trPr/>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Evaluation</w:t>
            </w:r>
            <w:r>
              <w:rPr>
                <w:rFonts w:ascii="Aptos" w:hAnsi="Aptos"/>
                <w:sz w:val="24"/>
                <w:szCs w:val="24"/>
                <w:lang w:val="en-US" w:eastAsia="zh-CN" w:bidi="ar-SA"/>
              </w:rPr>
            </w:r>
          </w:p>
        </w:tc>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Unit/UI tests and scenario validation</w:t>
            </w:r>
            <w:r>
              <w:rPr>
                <w:rFonts w:ascii="Aptos" w:hAnsi="Aptos"/>
                <w:sz w:val="24"/>
                <w:szCs w:val="24"/>
                <w:lang w:val="en-US" w:eastAsia="zh-CN" w:bidi="ar-SA"/>
              </w:rPr>
            </w:r>
          </w:p>
        </w:tc>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Large-scale user trials and red-team benchmark campaigns</w:t>
            </w:r>
            <w:r>
              <w:rPr>
                <w:rFonts w:ascii="Aptos" w:hAnsi="Aptos"/>
                <w:sz w:val="24"/>
                <w:szCs w:val="24"/>
                <w:lang w:val="en-US" w:eastAsia="zh-CN" w:bidi="ar-SA"/>
              </w:rPr>
            </w:r>
          </w:p>
        </w:tc>
      </w:tr>
    </w:tbl>
    <w:p>
      <w:pPr>
        <w:pStyle w:val="917"/>
        <w:pBdr/>
        <w:spacing/>
        <w:ind/>
        <w:rPr/>
      </w:pPr>
      <w:r>
        <w:t xml:space="preserve">Limitations:</w:t>
      </w:r>
      <w:r/>
    </w:p>
    <w:p>
      <w:pPr>
        <w:pStyle w:val="922"/>
        <w:numPr>
          <w:ilvl w:val="0"/>
          <w:numId w:val="2"/>
        </w:numPr>
        <w:pBdr/>
        <w:spacing/>
        <w:ind/>
        <w:rPr/>
      </w:pPr>
      <w:r>
        <w:t xml:space="preserve">Clipboard polling interval can miss extremely transient states.</w:t>
      </w:r>
      <w:r/>
    </w:p>
    <w:p>
      <w:pPr>
        <w:pStyle w:val="922"/>
        <w:numPr>
          <w:ilvl w:val="0"/>
          <w:numId w:val="2"/>
        </w:numPr>
        <w:pBdr/>
        <w:spacing/>
        <w:ind/>
        <w:rPr/>
      </w:pPr>
      <w:r>
        <w:t xml:space="preserve">Pattern-based detection can generate false positives/false negatives.</w:t>
      </w:r>
      <w:r/>
    </w:p>
    <w:p>
      <w:pPr>
        <w:pStyle w:val="922"/>
        <w:numPr>
          <w:ilvl w:val="0"/>
          <w:numId w:val="2"/>
        </w:numPr>
        <w:pBdr/>
        <w:spacing/>
        <w:ind/>
        <w:rPr/>
      </w:pPr>
      <w:r>
        <w:t xml:space="preserve">Local storage of clipboard text introduces privacy risk if not governed.</w:t>
      </w:r>
      <w:r/>
    </w:p>
    <w:p>
      <w:pPr>
        <w:pStyle w:val="856"/>
        <w:pBdr/>
        <w:spacing/>
        <w:ind/>
        <w:rPr/>
      </w:pPr>
      <w:r/>
      <w:bookmarkEnd w:id="26"/>
      <w:r/>
      <w:r/>
    </w:p>
    <w:p>
      <w:pPr>
        <w:pStyle w:val="858"/>
        <w:pBdr/>
        <w:spacing/>
        <w:ind/>
        <w:rPr/>
      </w:pPr>
      <w:r/>
      <w:bookmarkStart w:id="27" w:name="__RefHeading___Toc2389_2076133143"/>
      <w:r/>
      <w:bookmarkStart w:id="28" w:name="research-methodology-overview"/>
      <w:r/>
      <w:bookmarkEnd w:id="27"/>
      <w:r>
        <w:t xml:space="preserve">Research Methodology (Overview)</w:t>
      </w:r>
      <w:r/>
    </w:p>
    <w:p>
      <w:pPr>
        <w:pStyle w:val="921"/>
        <w:pBdr/>
        <w:spacing/>
        <w:ind/>
        <w:rPr/>
      </w:pPr>
      <w:r>
        <w:t xml:space="preserve">This study follows an applied design-science approach:</w:t>
      </w:r>
      <w:r/>
    </w:p>
    <w:p>
      <w:pPr>
        <w:pStyle w:val="922"/>
        <w:numPr>
          <w:ilvl w:val="0"/>
          <w:numId w:val="85"/>
        </w:numPr>
        <w:pBdr/>
        <w:spacing/>
        <w:ind/>
        <w:rPr/>
      </w:pPr>
      <w:r>
        <w:t xml:space="preserve">Problem identification and requirements extraction from cyber threat context.</w:t>
      </w:r>
      <w:r/>
    </w:p>
    <w:p>
      <w:pPr>
        <w:pStyle w:val="922"/>
        <w:numPr>
          <w:ilvl w:val="0"/>
          <w:numId w:val="1"/>
        </w:numPr>
        <w:pBdr/>
        <w:spacing/>
        <w:ind/>
        <w:rPr/>
      </w:pPr>
      <w:r>
        <w:t xml:space="preserve">Artifact design (clipboard monitor architecture, detection logic, UI workflow).</w:t>
      </w:r>
      <w:r/>
    </w:p>
    <w:p>
      <w:pPr>
        <w:pStyle w:val="922"/>
        <w:numPr>
          <w:ilvl w:val="0"/>
          <w:numId w:val="1"/>
        </w:numPr>
        <w:pBdr/>
        <w:spacing/>
        <w:ind/>
        <w:rPr/>
      </w:pPr>
      <w:r>
        <w:t xml:space="preserve">Artifact implementation in Python modules.</w:t>
      </w:r>
      <w:r/>
    </w:p>
    <w:p>
      <w:pPr>
        <w:pStyle w:val="922"/>
        <w:numPr>
          <w:ilvl w:val="0"/>
          <w:numId w:val="1"/>
        </w:numPr>
        <w:pBdr/>
        <w:spacing/>
        <w:ind/>
        <w:rPr/>
      </w:pPr>
      <w:r>
        <w:t xml:space="preserve">Evaluation using automated tests and controlled scenarios.</w:t>
      </w:r>
      <w:r/>
    </w:p>
    <w:p>
      <w:pPr>
        <w:pStyle w:val="922"/>
        <w:numPr>
          <w:ilvl w:val="0"/>
          <w:numId w:val="1"/>
        </w:numPr>
        <w:pBdr/>
        <w:spacing/>
        <w:ind/>
        <w:rPr/>
      </w:pPr>
      <w:r>
        <w:t xml:space="preserve">Reflection on security effectiveness, compliance, and operational feasibility.</w:t>
      </w:r>
      <w:r/>
    </w:p>
    <w:p>
      <w:pPr>
        <w:pStyle w:val="921"/>
        <w:pBdr/>
        <w:spacing/>
        <w:ind/>
        <w:rPr/>
      </w:pPr>
      <w:r>
        <w:t xml:space="preserve">Mixed evidence sources were used:</w:t>
      </w:r>
      <w:r/>
    </w:p>
    <w:p>
      <w:pPr>
        <w:pStyle w:val="922"/>
        <w:numPr>
          <w:ilvl w:val="0"/>
          <w:numId w:val="2"/>
        </w:numPr>
        <w:pBdr/>
        <w:spacing/>
        <w:ind/>
        <w:rPr/>
      </w:pPr>
      <w:r>
        <w:t xml:space="preserve">Literature and standards review.</w:t>
      </w:r>
      <w:r/>
    </w:p>
    <w:p>
      <w:pPr>
        <w:pStyle w:val="922"/>
        <w:numPr>
          <w:ilvl w:val="0"/>
          <w:numId w:val="2"/>
        </w:numPr>
        <w:pBdr/>
        <w:spacing/>
        <w:ind/>
        <w:rPr/>
      </w:pPr>
      <w:r>
        <w:t xml:space="preserve">Code-level analysis of implemented modules.</w:t>
      </w:r>
      <w:r/>
    </w:p>
    <w:p>
      <w:pPr>
        <w:pStyle w:val="922"/>
        <w:numPr>
          <w:ilvl w:val="0"/>
          <w:numId w:val="2"/>
        </w:numPr>
        <w:pBdr/>
        <w:spacing/>
        <w:ind/>
        <w:rPr/>
      </w:pPr>
      <w:r>
        <w:t xml:space="preserve">Test execution outputs and runtime observations.</w:t>
      </w:r>
      <w:r/>
    </w:p>
    <w:p>
      <w:pPr>
        <w:pStyle w:val="856"/>
        <w:pBdr/>
        <w:spacing/>
        <w:ind/>
        <w:rPr/>
      </w:pPr>
      <w:r/>
      <w:bookmarkEnd w:id="28"/>
      <w:r/>
      <w:r/>
    </w:p>
    <w:p>
      <w:pPr>
        <w:pStyle w:val="858"/>
        <w:pBdr/>
        <w:spacing/>
        <w:ind/>
        <w:rPr/>
      </w:pPr>
      <w:r/>
      <w:bookmarkStart w:id="29" w:name="__RefHeading___Toc2391_2076133143"/>
      <w:r/>
      <w:bookmarkStart w:id="30" w:name="literature-review"/>
      <w:r/>
      <w:bookmarkEnd w:id="29"/>
      <w:r>
        <w:t xml:space="preserve">Literature Review</w:t>
      </w:r>
      <w:r/>
    </w:p>
    <w:p>
      <w:pPr>
        <w:pStyle w:val="859"/>
        <w:pBdr/>
        <w:spacing/>
        <w:ind/>
        <w:rPr/>
      </w:pPr>
      <w:r/>
      <w:bookmarkStart w:id="31" w:name="__RefHeading___Toc2393_2076133143"/>
      <w:r/>
      <w:bookmarkStart w:id="32" w:name="Xf2ea60f0df7b16970795cfd48d07f60aa5ea35e"/>
      <w:r/>
      <w:bookmarkEnd w:id="31"/>
      <w:r>
        <w:t xml:space="preserve">Cyber Security Overview: Concepts and Frameworks</w:t>
      </w:r>
      <w:r/>
    </w:p>
    <w:p>
      <w:pPr>
        <w:pStyle w:val="921"/>
        <w:pBdr/>
        <w:spacing/>
        <w:ind/>
        <w:rPr/>
      </w:pPr>
      <w:r>
        <w:t xml:space="preserve">Modern cybersecurity frameworks emphasize layered controls and risk-driven governance. The NIST Cybersecurity Framework (CSF) aligns with ident</w:t>
      </w:r>
      <w:r>
        <w:t xml:space="preserve">ify, protect, detect, respond, and recover capabilities. ISO/IEC 27001 and ISO/IEC 27002 define information security management controls, while ISO/IEC 27005 supports risk assessment. NIST SP 800-53 and CIS Controls provide implementation-focused guidance.</w:t>
      </w:r>
      <w:r/>
    </w:p>
    <w:p>
      <w:pPr>
        <w:pStyle w:val="917"/>
        <w:pBdr/>
        <w:spacing/>
        <w:ind/>
        <w:rPr/>
      </w:pPr>
      <w:r>
        <w:t xml:space="preserve">For data protection, GDPR and similar regulations highlight data minimization, confidentiality, and accountability. In e</w:t>
      </w:r>
      <w:r>
        <w:t xml:space="preserve">ndpoint contexts, leakage pathways include removable media, cloud sync, screenshots, and clipboard channels. DLP systems traditionally focus on email, web, and storage channels, with less emphasis on clipboard telemetry despite documented attack relevance.</w:t>
      </w:r>
      <w:bookmarkEnd w:id="32"/>
      <w:r/>
      <w:r/>
    </w:p>
    <w:p>
      <w:pPr>
        <w:pStyle w:val="859"/>
        <w:pBdr/>
        <w:spacing/>
        <w:ind/>
        <w:rPr/>
      </w:pPr>
      <w:r/>
      <w:bookmarkStart w:id="33" w:name="__RefHeading___Toc2395_2076133143"/>
      <w:r/>
      <w:bookmarkStart w:id="34" w:name="existing-research-and-case-studies"/>
      <w:r/>
      <w:bookmarkEnd w:id="33"/>
      <w:r>
        <w:t xml:space="preserve">Existing Research and Case Studies</w:t>
      </w:r>
      <w:r/>
    </w:p>
    <w:p>
      <w:pPr>
        <w:pStyle w:val="921"/>
        <w:pBdr/>
        <w:spacing/>
        <w:ind/>
        <w:rPr/>
      </w:pPr>
      <w:r>
        <w:t xml:space="preserve">Case Study 1:</w:t>
      </w:r>
      <w:r>
        <w:t xml:space="preserve"> Clipboard Hijacking Malware (ClipBanker family)</w:t>
        <w:br/>
        <w:t xml:space="preserve">Threat intelligence reports show malware replacing copied cryptocurrency addresses during transaction workflows, causing direct financial loss. This validates clipboard integrity as a high-priority use case.</w:t>
      </w:r>
      <w:r/>
    </w:p>
    <w:p>
      <w:pPr>
        <w:pStyle w:val="917"/>
        <w:pBdr/>
        <w:spacing/>
        <w:ind/>
        <w:rPr/>
      </w:pPr>
      <w:r>
        <w:t xml:space="preserve">Case Study 2: Credential and Token Exposure in Developer Workflows</w:t>
        <w:br/>
        <w:t xml:space="preserve">Industry reports and breach analyses indicate recurring incidents where tokens or keys are copied into insecure channels or logs.</w:t>
      </w:r>
      <w:r/>
    </w:p>
    <w:p>
      <w:pPr>
        <w:pStyle w:val="917"/>
        <w:pBdr/>
        <w:spacing/>
        <w:ind/>
        <w:rPr/>
      </w:pPr>
      <w:r>
        <w:t xml:space="preserve">Case Study 3: Insider and Accidental Data Loss in Collaboration Tools</w:t>
        <w:br/>
        <w:t xml:space="preserve">Research on human factors in security identifies misdirected copy-paste events as common in remote and hybrid work.</w:t>
      </w:r>
      <w:r/>
    </w:p>
    <w:p>
      <w:pPr>
        <w:pStyle w:val="917"/>
        <w:pBdr/>
        <w:spacing/>
        <w:ind/>
        <w:rPr/>
      </w:pPr>
      <w:r>
        <w:t xml:space="preserve">Case Study 4: Endpoint DLP Deployments in Regulated Industries</w:t>
        <w:br/>
        <w:t xml:space="preserve">Healthcare and finance deployments show that endpoint visibility and policy-triggered responses can reduce high-risk data handling events.</w:t>
      </w:r>
      <w:r/>
    </w:p>
    <w:p>
      <w:pPr>
        <w:pStyle w:val="917"/>
        <w:pBdr/>
        <w:spacing/>
        <w:ind/>
        <w:rPr/>
      </w:pPr>
      <w:r>
        <w:t xml:space="preserve">Case Study 5: Pattern-Based Detection Systems in Security Monitoring</w:t>
        <w:br/>
        <w:t xml:space="preserve">Regex and rule-driven detectors remain practical in low-latency systems, especially when paired with risk scoring and manual review.</w:t>
      </w:r>
      <w:bookmarkEnd w:id="34"/>
      <w:r/>
      <w:r/>
    </w:p>
    <w:p>
      <w:pPr>
        <w:pStyle w:val="859"/>
        <w:pBdr/>
        <w:spacing/>
        <w:ind/>
        <w:rPr/>
      </w:pPr>
      <w:r/>
      <w:bookmarkStart w:id="35" w:name="__RefHeading___Toc2397_2076133143"/>
      <w:r/>
      <w:bookmarkStart w:id="36" w:name="gaps-and-areas-for-further-research"/>
      <w:r/>
      <w:bookmarkEnd w:id="35"/>
      <w:r>
        <w:t xml:space="preserve">Gaps and Areas for Further Research</w:t>
      </w:r>
      <w:r/>
    </w:p>
    <w:p>
      <w:pPr>
        <w:pStyle w:val="922"/>
        <w:numPr>
          <w:ilvl w:val="0"/>
          <w:numId w:val="2"/>
        </w:numPr>
        <w:pBdr/>
        <w:spacing/>
        <w:ind/>
        <w:rPr/>
      </w:pPr>
      <w:r>
        <w:t xml:space="preserve">Limited academic focus on clipboard-specific DLP at endpoint level.</w:t>
      </w:r>
      <w:r/>
    </w:p>
    <w:p>
      <w:pPr>
        <w:pStyle w:val="922"/>
        <w:numPr>
          <w:ilvl w:val="0"/>
          <w:numId w:val="2"/>
        </w:numPr>
        <w:pBdr/>
        <w:spacing/>
        <w:ind/>
        <w:rPr/>
      </w:pPr>
      <w:r>
        <w:t xml:space="preserve">Need for context-aware models to reduce false alerts.</w:t>
      </w:r>
      <w:r/>
    </w:p>
    <w:p>
      <w:pPr>
        <w:pStyle w:val="922"/>
        <w:numPr>
          <w:ilvl w:val="0"/>
          <w:numId w:val="2"/>
        </w:numPr>
        <w:pBdr/>
        <w:spacing/>
        <w:ind/>
        <w:rPr/>
      </w:pPr>
      <w:r>
        <w:t xml:space="preserve">Need for privacy-preserving analytics that avoid storing full sensitive payloads.</w:t>
      </w:r>
      <w:r/>
    </w:p>
    <w:p>
      <w:pPr>
        <w:pStyle w:val="922"/>
        <w:numPr>
          <w:ilvl w:val="0"/>
          <w:numId w:val="2"/>
        </w:numPr>
        <w:pBdr/>
        <w:spacing/>
        <w:ind/>
        <w:rPr/>
      </w:pPr>
      <w:r>
        <w:t xml:space="preserve">Need for longitudinal usability studies evaluating alert fatigue and behavior change.</w:t>
      </w:r>
      <w:r/>
    </w:p>
    <w:p>
      <w:pPr>
        <w:pStyle w:val="856"/>
        <w:pBdr/>
        <w:spacing/>
        <w:ind/>
        <w:rPr/>
      </w:pPr>
      <w:r/>
      <w:bookmarkEnd w:id="30"/>
      <w:r/>
      <w:bookmarkEnd w:id="36"/>
      <w:r/>
      <w:r/>
    </w:p>
    <w:p>
      <w:pPr>
        <w:pStyle w:val="858"/>
        <w:pBdr/>
        <w:spacing/>
        <w:ind/>
        <w:rPr/>
      </w:pPr>
      <w:r/>
      <w:bookmarkStart w:id="37" w:name="__RefHeading___Toc2399_2076133143"/>
      <w:r/>
      <w:bookmarkStart w:id="38" w:name="methodology"/>
      <w:r/>
      <w:bookmarkEnd w:id="37"/>
      <w:r>
        <w:t xml:space="preserve">Methodology</w:t>
      </w:r>
      <w:r/>
    </w:p>
    <w:p>
      <w:pPr>
        <w:pStyle w:val="859"/>
        <w:pBdr/>
        <w:spacing/>
        <w:ind/>
        <w:rPr/>
      </w:pPr>
      <w:r/>
      <w:bookmarkStart w:id="39" w:name="__RefHeading___Toc2401_2076133143"/>
      <w:r/>
      <w:bookmarkStart w:id="40" w:name="research-design"/>
      <w:r/>
      <w:bookmarkEnd w:id="39"/>
      <w:r>
        <w:t xml:space="preserve">Research Design</w:t>
      </w:r>
      <w:r/>
    </w:p>
    <w:p>
      <w:pPr>
        <w:pStyle w:val="921"/>
        <w:pBdr/>
        <w:spacing/>
        <w:ind/>
        <w:rPr/>
      </w:pPr>
      <w:r>
        <w:t xml:space="preserve">The project uses iterative prototyping:</w:t>
      </w:r>
      <w:r/>
    </w:p>
    <w:p>
      <w:pPr>
        <w:pStyle w:val="922"/>
        <w:numPr>
          <w:ilvl w:val="0"/>
          <w:numId w:val="86"/>
        </w:numPr>
        <w:pBdr/>
        <w:spacing/>
        <w:ind/>
        <w:rPr/>
      </w:pPr>
      <w:r>
        <w:t xml:space="preserve">Requirements mapping from threat scenarios.</w:t>
      </w:r>
      <w:r/>
    </w:p>
    <w:p>
      <w:pPr>
        <w:pStyle w:val="922"/>
        <w:numPr>
          <w:ilvl w:val="0"/>
          <w:numId w:val="1"/>
        </w:numPr>
        <w:pBdr/>
        <w:spacing/>
        <w:ind/>
        <w:rPr/>
      </w:pPr>
      <w:r>
        <w:t xml:space="preserve">Module design (monitor, detector, storage, UI).</w:t>
      </w:r>
      <w:r/>
    </w:p>
    <w:p>
      <w:pPr>
        <w:pStyle w:val="922"/>
        <w:numPr>
          <w:ilvl w:val="0"/>
          <w:numId w:val="1"/>
        </w:numPr>
        <w:pBdr/>
        <w:spacing/>
        <w:ind/>
        <w:rPr/>
      </w:pPr>
      <w:r>
        <w:t xml:space="preserve">Implementation and incremental testing.</w:t>
      </w:r>
      <w:r/>
    </w:p>
    <w:p>
      <w:pPr>
        <w:pStyle w:val="922"/>
        <w:numPr>
          <w:ilvl w:val="0"/>
          <w:numId w:val="1"/>
        </w:numPr>
        <w:pBdr/>
        <w:spacing/>
        <w:ind/>
        <w:rPr/>
      </w:pPr>
      <w:r>
        <w:t xml:space="preserve">Validation through automated test suite and manual scenarios.</w:t>
      </w:r>
      <w:r/>
    </w:p>
    <w:p>
      <w:pPr>
        <w:pStyle w:val="921"/>
        <w:pBdr/>
        <w:spacing/>
        <w:ind/>
        <w:rPr/>
      </w:pPr>
      <w:r>
        <w:t xml:space="preserve">Data collection methods:</w:t>
      </w:r>
      <w:r/>
    </w:p>
    <w:p>
      <w:pPr>
        <w:pStyle w:val="922"/>
        <w:numPr>
          <w:ilvl w:val="0"/>
          <w:numId w:val="2"/>
        </w:numPr>
        <w:pBdr/>
        <w:spacing/>
        <w:ind/>
        <w:rPr/>
      </w:pPr>
      <w:r>
        <w:t xml:space="preserve">Static code inspection of implemented modules.</w:t>
      </w:r>
      <w:r/>
    </w:p>
    <w:p>
      <w:pPr>
        <w:pStyle w:val="922"/>
        <w:numPr>
          <w:ilvl w:val="0"/>
          <w:numId w:val="2"/>
        </w:numPr>
        <w:pBdr/>
        <w:spacing/>
        <w:ind/>
        <w:rPr/>
      </w:pPr>
      <w:r>
        <w:t xml:space="preserve">Execution logs and DB records from runtime behavior.</w:t>
      </w:r>
      <w:r/>
    </w:p>
    <w:p>
      <w:pPr>
        <w:pStyle w:val="922"/>
        <w:numPr>
          <w:ilvl w:val="0"/>
          <w:numId w:val="2"/>
        </w:numPr>
        <w:pBdr/>
        <w:spacing/>
        <w:ind/>
        <w:rPr/>
      </w:pPr>
      <w:r>
        <w:t xml:space="preserve">Automated test outputs.</w:t>
      </w:r>
      <w:r/>
    </w:p>
    <w:p>
      <w:pPr>
        <w:pStyle w:val="921"/>
        <w:pBdr/>
        <w:spacing/>
        <w:ind/>
        <w:rPr/>
      </w:pPr>
      <w:r>
        <w:t xml:space="preserve">Data analysis techniques:</w:t>
      </w:r>
      <w:r/>
    </w:p>
    <w:p>
      <w:pPr>
        <w:pStyle w:val="922"/>
        <w:numPr>
          <w:ilvl w:val="0"/>
          <w:numId w:val="2"/>
        </w:numPr>
        <w:pBdr/>
        <w:spacing/>
        <w:ind/>
        <w:rPr/>
      </w:pPr>
      <w:r>
        <w:t xml:space="preserve">Functional verification (pass/fail).</w:t>
      </w:r>
      <w:r/>
    </w:p>
    <w:p>
      <w:pPr>
        <w:pStyle w:val="922"/>
        <w:numPr>
          <w:ilvl w:val="0"/>
          <w:numId w:val="2"/>
        </w:numPr>
        <w:pBdr/>
        <w:spacing/>
        <w:ind/>
        <w:rPr/>
      </w:pPr>
      <w:r>
        <w:t xml:space="preserve">Qualitative analysis of detection coverage and limitations.</w:t>
      </w:r>
      <w:r/>
    </w:p>
    <w:p>
      <w:pPr>
        <w:pStyle w:val="922"/>
        <w:numPr>
          <w:ilvl w:val="0"/>
          <w:numId w:val="2"/>
        </w:numPr>
        <w:pBdr/>
        <w:spacing/>
        <w:ind/>
        <w:rPr/>
      </w:pPr>
      <w:r>
        <w:t xml:space="preserve">Security control mapping to standards.</w:t>
      </w:r>
      <w:bookmarkEnd w:id="40"/>
      <w:r/>
      <w:r/>
    </w:p>
    <w:p>
      <w:pPr>
        <w:pStyle w:val="859"/>
        <w:pBdr/>
        <w:spacing/>
        <w:ind/>
        <w:rPr/>
      </w:pPr>
      <w:r/>
      <w:bookmarkStart w:id="41" w:name="__RefHeading___Toc2403_2076133143"/>
      <w:r/>
      <w:bookmarkEnd w:id="41"/>
      <w:r>
        <w:t xml:space="preserve">Proposed Solution</w:t>
      </w:r>
      <w:r/>
    </w:p>
    <w:p>
      <w:pPr>
        <w:pStyle w:val="921"/>
        <w:pBdr/>
        <w:spacing/>
        <w:ind/>
        <w:rPr/>
      </w:pPr>
      <w:r>
        <w:t xml:space="preserve">Implemented components include:</w:t>
      </w:r>
      <w:r/>
    </w:p>
    <w:p>
      <w:pPr>
        <w:pStyle w:val="922"/>
        <w:numPr>
          <w:ilvl w:val="0"/>
          <w:numId w:val="2"/>
        </w:numPr>
        <w:pBdr/>
        <w:spacing/>
        <w:ind/>
        <w:rPr/>
      </w:pPr>
      <w:r>
        <w:t xml:space="preserve">Clipboard monitoring thread with deduplication and pause/resume support.</w:t>
      </w:r>
      <w:r/>
    </w:p>
    <w:p>
      <w:pPr>
        <w:pStyle w:val="922"/>
        <w:numPr>
          <w:ilvl w:val="0"/>
          <w:numId w:val="2"/>
        </w:numPr>
        <w:pBdr/>
        <w:spacing/>
        <w:ind/>
        <w:rPr/>
      </w:pPr>
      <w:r>
        <w:t xml:space="preserve">Detection engine using regex patterns and optional YARA rules.</w:t>
      </w:r>
      <w:r/>
    </w:p>
    <w:p>
      <w:pPr>
        <w:pStyle w:val="922"/>
        <w:numPr>
          <w:ilvl w:val="0"/>
          <w:numId w:val="2"/>
        </w:numPr>
        <w:pBdr/>
        <w:spacing/>
        <w:ind/>
        <w:rPr/>
      </w:pPr>
      <w:r>
        <w:t xml:space="preserve">Entropy-based heuristic support in analyzer module.</w:t>
      </w:r>
      <w:r/>
    </w:p>
    <w:p>
      <w:pPr>
        <w:pStyle w:val="922"/>
        <w:numPr>
          <w:ilvl w:val="0"/>
          <w:numId w:val="2"/>
        </w:numPr>
        <w:pBdr/>
        <w:spacing/>
        <w:ind/>
        <w:rPr/>
      </w:pPr>
      <w:r>
        <w:t xml:space="preserve">Source-capture heuristics where possible.</w:t>
      </w:r>
      <w:r/>
    </w:p>
    <w:p>
      <w:pPr>
        <w:pStyle w:val="922"/>
        <w:numPr>
          <w:ilvl w:val="0"/>
          <w:numId w:val="2"/>
        </w:numPr>
        <w:pBdr/>
        <w:spacing/>
        <w:ind/>
        <w:rPr/>
      </w:pPr>
      <w:r>
        <w:t xml:space="preserve">SQLite storage for clipboard event records.</w:t>
      </w:r>
      <w:r/>
    </w:p>
    <w:p>
      <w:pPr>
        <w:pStyle w:val="922"/>
        <w:numPr>
          <w:ilvl w:val="0"/>
          <w:numId w:val="2"/>
        </w:numPr>
        <w:pBdr/>
        <w:spacing/>
        <w:ind/>
        <w:rPr/>
      </w:pPr>
      <w:r>
        <w:t xml:space="preserve">Desktop UI for event browsing, preview, filtering, and export.</w:t>
      </w:r>
      <w:r/>
    </w:p>
    <w:p>
      <w:pPr>
        <w:pStyle w:val="921"/>
        <w:pBdr/>
        <w:spacing/>
        <w:ind/>
        <w:rPr/>
      </w:pPr>
      <w:r>
        <w:t xml:space="preserve">Table 2. Detection categories and mapped risk levels.</w:t>
      </w:r>
      <w:r/>
    </w:p>
    <w:tbl>
      <w:tblPr>
        <w:tblStyle w:val="947"/>
        <w:tblInd w:w="0" w:type="dxa"/>
        <w:tblW w:w="5000" w:type="pct"/>
        <w:tblCellMar>
          <w:left w:w="108" w:type="dxa"/>
          <w:top w:w="0" w:type="dxa"/>
          <w:right w:w="108" w:type="dxa"/>
          <w:bottom w:w="0" w:type="dxa"/>
        </w:tblCellMar>
        <w:tblBorders/>
        <w:tblLayout w:type="fixed"/>
        <w:tblLook w:val="0020" w:firstRow="1" w:lastRow="0" w:firstColumn="0" w:lastColumn="0" w:noHBand="0" w:noVBand="0"/>
      </w:tblPr>
      <w:tblGrid>
        <w:gridCol w:w="3120"/>
        <w:gridCol w:w="3120"/>
        <w:gridCol w:w="3120"/>
      </w:tblGrid>
      <w:tr>
        <w:trPr>
          <w:tblHeader/>
        </w:trPr>
        <w:tc>
          <w:tcPr>
            <w:tcBorders>
              <w:bottom w:val="single" w:color="000000" w:sz="6" w:space="0"/>
            </w:tcBorders>
            <w:tcW w:w="3120" w:type="dxa"/>
            <w:vAlign w:val="bottom"/>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Detection Category</w:t>
            </w:r>
            <w:r>
              <w:rPr>
                <w:rFonts w:ascii="Aptos" w:hAnsi="Aptos"/>
                <w:sz w:val="24"/>
                <w:szCs w:val="24"/>
                <w:lang w:val="en-US" w:eastAsia="zh-CN" w:bidi="ar-SA"/>
              </w:rPr>
            </w:r>
          </w:p>
        </w:tc>
        <w:tc>
          <w:tcPr>
            <w:tcBorders>
              <w:bottom w:val="single" w:color="000000" w:sz="6" w:space="0"/>
            </w:tcBorders>
            <w:tcW w:w="3120" w:type="dxa"/>
            <w:vAlign w:val="bottom"/>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Example</w:t>
            </w:r>
            <w:r>
              <w:rPr>
                <w:rFonts w:ascii="Aptos" w:hAnsi="Aptos"/>
                <w:sz w:val="24"/>
                <w:szCs w:val="24"/>
                <w:lang w:val="en-US" w:eastAsia="zh-CN" w:bidi="ar-SA"/>
              </w:rPr>
            </w:r>
          </w:p>
        </w:tc>
        <w:tc>
          <w:tcPr>
            <w:tcBorders>
              <w:bottom w:val="single" w:color="000000" w:sz="6" w:space="0"/>
            </w:tcBorders>
            <w:tcW w:w="3120" w:type="dxa"/>
            <w:vAlign w:val="bottom"/>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Risk Level (Default)</w:t>
            </w:r>
            <w:r>
              <w:rPr>
                <w:rFonts w:ascii="Aptos" w:hAnsi="Aptos"/>
                <w:sz w:val="24"/>
                <w:szCs w:val="24"/>
                <w:lang w:val="en-US" w:eastAsia="zh-CN" w:bidi="ar-SA"/>
              </w:rPr>
            </w:r>
          </w:p>
        </w:tc>
      </w:tr>
      <w:tr>
        <w:trPr/>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BTC/ETH wallet indicators</w:t>
            </w:r>
            <w:r>
              <w:rPr>
                <w:rFonts w:ascii="Aptos" w:hAnsi="Aptos"/>
                <w:sz w:val="24"/>
                <w:szCs w:val="24"/>
                <w:lang w:val="en-US" w:eastAsia="zh-CN" w:bidi="ar-SA"/>
              </w:rPr>
            </w:r>
          </w:p>
        </w:tc>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wallet-style address strings</w:t>
            </w:r>
            <w:r>
              <w:rPr>
                <w:rFonts w:ascii="Aptos" w:hAnsi="Aptos"/>
                <w:sz w:val="24"/>
                <w:szCs w:val="24"/>
                <w:lang w:val="en-US" w:eastAsia="zh-CN" w:bidi="ar-SA"/>
              </w:rPr>
            </w:r>
          </w:p>
        </w:tc>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Critical</w:t>
            </w:r>
            <w:r>
              <w:rPr>
                <w:rFonts w:ascii="Aptos" w:hAnsi="Aptos"/>
                <w:sz w:val="24"/>
                <w:szCs w:val="24"/>
                <w:lang w:val="en-US" w:eastAsia="zh-CN" w:bidi="ar-SA"/>
              </w:rPr>
            </w:r>
          </w:p>
        </w:tc>
      </w:tr>
      <w:tr>
        <w:trPr/>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API key-like tokens</w:t>
            </w:r>
            <w:r>
              <w:rPr>
                <w:rFonts w:ascii="Aptos" w:hAnsi="Aptos"/>
                <w:sz w:val="24"/>
                <w:szCs w:val="24"/>
                <w:lang w:val="en-US" w:eastAsia="zh-CN" w:bidi="ar-SA"/>
              </w:rPr>
            </w:r>
          </w:p>
        </w:tc>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sk-, ghp_, AKIA patterns</w:t>
            </w:r>
            <w:r>
              <w:rPr>
                <w:rFonts w:ascii="Aptos" w:hAnsi="Aptos"/>
                <w:sz w:val="24"/>
                <w:szCs w:val="24"/>
                <w:lang w:val="en-US" w:eastAsia="zh-CN" w:bidi="ar-SA"/>
              </w:rPr>
            </w:r>
          </w:p>
        </w:tc>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High</w:t>
            </w:r>
            <w:r>
              <w:rPr>
                <w:rFonts w:ascii="Aptos" w:hAnsi="Aptos"/>
                <w:sz w:val="24"/>
                <w:szCs w:val="24"/>
                <w:lang w:val="en-US" w:eastAsia="zh-CN" w:bidi="ar-SA"/>
              </w:rPr>
            </w:r>
          </w:p>
        </w:tc>
      </w:tr>
      <w:tr>
        <w:trPr/>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Credit card / OTP patterns</w:t>
            </w:r>
            <w:r>
              <w:rPr>
                <w:rFonts w:ascii="Aptos" w:hAnsi="Aptos"/>
                <w:sz w:val="24"/>
                <w:szCs w:val="24"/>
                <w:lang w:val="en-US" w:eastAsia="zh-CN" w:bidi="ar-SA"/>
              </w:rPr>
            </w:r>
          </w:p>
        </w:tc>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card-length numeric formats</w:t>
            </w:r>
            <w:r>
              <w:rPr>
                <w:rFonts w:ascii="Aptos" w:hAnsi="Aptos"/>
                <w:sz w:val="24"/>
                <w:szCs w:val="24"/>
                <w:lang w:val="en-US" w:eastAsia="zh-CN" w:bidi="ar-SA"/>
              </w:rPr>
            </w:r>
          </w:p>
        </w:tc>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High</w:t>
            </w:r>
            <w:r>
              <w:rPr>
                <w:rFonts w:ascii="Aptos" w:hAnsi="Aptos"/>
                <w:sz w:val="24"/>
                <w:szCs w:val="24"/>
                <w:lang w:val="en-US" w:eastAsia="zh-CN" w:bidi="ar-SA"/>
              </w:rPr>
            </w:r>
          </w:p>
        </w:tc>
      </w:tr>
      <w:tr>
        <w:trPr/>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Email / phone / generic identifiers</w:t>
            </w:r>
            <w:r>
              <w:rPr>
                <w:rFonts w:ascii="Aptos" w:hAnsi="Aptos"/>
                <w:sz w:val="24"/>
                <w:szCs w:val="24"/>
                <w:lang w:val="en-US" w:eastAsia="zh-CN" w:bidi="ar-SA"/>
              </w:rPr>
            </w:r>
          </w:p>
        </w:tc>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user contact-like strings</w:t>
            </w:r>
            <w:r>
              <w:rPr>
                <w:rFonts w:ascii="Aptos" w:hAnsi="Aptos"/>
                <w:sz w:val="24"/>
                <w:szCs w:val="24"/>
                <w:lang w:val="en-US" w:eastAsia="zh-CN" w:bidi="ar-SA"/>
              </w:rPr>
            </w:r>
          </w:p>
        </w:tc>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Medium</w:t>
            </w:r>
            <w:r>
              <w:rPr>
                <w:rFonts w:ascii="Aptos" w:hAnsi="Aptos"/>
                <w:sz w:val="24"/>
                <w:szCs w:val="24"/>
                <w:lang w:val="en-US" w:eastAsia="zh-CN" w:bidi="ar-SA"/>
              </w:rPr>
            </w:r>
          </w:p>
        </w:tc>
      </w:tr>
      <w:tr>
        <w:trPr/>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No sensitive match</w:t>
            </w:r>
            <w:r>
              <w:rPr>
                <w:rFonts w:ascii="Aptos" w:hAnsi="Aptos"/>
                <w:sz w:val="24"/>
                <w:szCs w:val="24"/>
                <w:lang w:val="en-US" w:eastAsia="zh-CN" w:bidi="ar-SA"/>
              </w:rPr>
            </w:r>
          </w:p>
        </w:tc>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normal text</w:t>
            </w:r>
            <w:r>
              <w:rPr>
                <w:rFonts w:ascii="Aptos" w:hAnsi="Aptos"/>
                <w:sz w:val="24"/>
                <w:szCs w:val="24"/>
                <w:lang w:val="en-US" w:eastAsia="zh-CN" w:bidi="ar-SA"/>
              </w:rPr>
            </w:r>
          </w:p>
        </w:tc>
        <w:tc>
          <w:tcPr>
            <w:tcBorders/>
            <w:tcW w:w="312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Low</w:t>
            </w:r>
            <w:bookmarkStart w:id="42" w:name="proposed-solution"/>
            <w:r/>
            <w:bookmarkEnd w:id="42"/>
            <w:r/>
            <w:r>
              <w:rPr>
                <w:rFonts w:ascii="Aptos" w:hAnsi="Aptos"/>
                <w:sz w:val="24"/>
                <w:szCs w:val="24"/>
                <w:lang w:val="en-US" w:eastAsia="zh-CN" w:bidi="ar-SA"/>
              </w:rPr>
            </w:r>
          </w:p>
        </w:tc>
      </w:tr>
    </w:tbl>
    <w:p>
      <w:pPr>
        <w:pStyle w:val="859"/>
        <w:pBdr/>
        <w:spacing/>
        <w:ind/>
        <w:rPr/>
      </w:pPr>
      <w:r/>
      <w:bookmarkStart w:id="43" w:name="__RefHeading___Toc2405_2076133143"/>
      <w:r/>
      <w:bookmarkEnd w:id="43"/>
      <w:r>
        <w:t xml:space="preserve">Project Management</w:t>
      </w:r>
      <w:r/>
    </w:p>
    <w:p>
      <w:pPr>
        <w:pStyle w:val="921"/>
        <w:pBdr/>
        <w:spacing/>
        <w:ind/>
        <w:rPr/>
      </w:pPr>
      <w:r>
        <w:t xml:space="preserve">Figure 2. Phased timeline.</w:t>
      </w:r>
      <w:r/>
    </w:p>
    <w:p>
      <w:pPr>
        <w:pStyle w:val="941"/>
        <w:pBdr/>
        <w:spacing/>
        <w:ind/>
        <w:rPr/>
      </w:pPr>
      <w:r>
        <w:rPr>
          <w:rStyle w:val="879"/>
        </w:rPr>
        <w:t xml:space="preserve">gantt</w:t>
      </w:r>
      <w:r>
        <w:br/>
      </w:r>
      <w:r>
        <w:rPr>
          <w:rStyle w:val="879"/>
        </w:rPr>
        <w:t xml:space="preserve">    title Clipboard DLP Project Timeline</w:t>
      </w:r>
      <w:r>
        <w:br/>
      </w:r>
      <w:r>
        <w:rPr>
          <w:rStyle w:val="879"/>
        </w:rPr>
        <w:t xml:space="preserve">    dateFormat  YYYY-MM-DD</w:t>
      </w:r>
      <w:r>
        <w:br/>
      </w:r>
      <w:r>
        <w:rPr>
          <w:rStyle w:val="879"/>
        </w:rPr>
        <w:t xml:space="preserve">    section Planning</w:t>
      </w:r>
      <w:r>
        <w:br/>
      </w:r>
      <w:r>
        <w:rPr>
          <w:rStyle w:val="879"/>
        </w:rPr>
        <w:t xml:space="preserve">    Requirements and threat model      :a1, 2026-01-08, 12d</w:t>
      </w:r>
      <w:r>
        <w:br/>
      </w:r>
      <w:r>
        <w:rPr>
          <w:rStyle w:val="879"/>
        </w:rPr>
        <w:t xml:space="preserve">    Architecture design                :a2, after a1, 10d</w:t>
      </w:r>
      <w:r>
        <w:br/>
      </w:r>
      <w:r>
        <w:rPr>
          <w:rStyle w:val="879"/>
        </w:rPr>
        <w:t xml:space="preserve">    section Build</w:t>
      </w:r>
      <w:r>
        <w:br/>
      </w:r>
      <w:r>
        <w:rPr>
          <w:rStyle w:val="879"/>
        </w:rPr>
        <w:t xml:space="preserve">    Core monitor and detector modules  :b1, 2026-02-01, 24d</w:t>
      </w:r>
      <w:r>
        <w:br/>
      </w:r>
      <w:r>
        <w:rPr>
          <w:rStyle w:val="879"/>
        </w:rPr>
        <w:t xml:space="preserve">    UI and DB integration              :b2, after b1, 20d</w:t>
      </w:r>
      <w:r>
        <w:br/>
      </w:r>
      <w:r>
        <w:rPr>
          <w:rStyle w:val="879"/>
        </w:rPr>
        <w:t xml:space="preserve">    section Validation</w:t>
      </w:r>
      <w:r>
        <w:br/>
      </w:r>
      <w:r>
        <w:rPr>
          <w:rStyle w:val="879"/>
        </w:rPr>
        <w:t xml:space="preserve">    Testing and bug fixing             :c1, 2026-03-20, 18d</w:t>
      </w:r>
      <w:r>
        <w:br/>
      </w:r>
      <w:r>
        <w:rPr>
          <w:rStyle w:val="879"/>
        </w:rPr>
        <w:t xml:space="preserve">    Compliance and documentation       :c2, after c1, 15d</w:t>
      </w:r>
      <w:r>
        <w:br/>
      </w:r>
      <w:r>
        <w:rPr>
          <w:rStyle w:val="879"/>
        </w:rPr>
        <w:t xml:space="preserve">    section Delivery</w:t>
      </w:r>
      <w:r>
        <w:br/>
      </w:r>
      <w:r>
        <w:rPr>
          <w:rStyle w:val="879"/>
        </w:rPr>
        <w:t xml:space="preserve">    Final report and submission prep   :d1, 2026-04-25, 14d</w:t>
      </w:r>
      <w:r/>
    </w:p>
    <w:p>
      <w:pPr>
        <w:pStyle w:val="921"/>
        <w:pBdr/>
        <w:spacing/>
        <w:ind/>
        <w:rPr/>
      </w:pPr>
      <w:r>
        <w:t xml:space="preserve">Milestones and deliverables:</w:t>
      </w:r>
      <w:r/>
    </w:p>
    <w:p>
      <w:pPr>
        <w:pStyle w:val="922"/>
        <w:numPr>
          <w:ilvl w:val="0"/>
          <w:numId w:val="87"/>
        </w:numPr>
        <w:pBdr/>
        <w:spacing/>
        <w:ind/>
        <w:rPr/>
      </w:pPr>
      <w:r>
        <w:t xml:space="preserve">M1: Threat model and requirements document.</w:t>
      </w:r>
      <w:r/>
    </w:p>
    <w:p>
      <w:pPr>
        <w:pStyle w:val="922"/>
        <w:numPr>
          <w:ilvl w:val="0"/>
          <w:numId w:val="1"/>
        </w:numPr>
        <w:pBdr/>
        <w:spacing/>
        <w:ind/>
        <w:rPr/>
      </w:pPr>
      <w:r>
        <w:t xml:space="preserve">M2: Running prototype with monitoring and detection.</w:t>
      </w:r>
      <w:r/>
    </w:p>
    <w:p>
      <w:pPr>
        <w:pStyle w:val="922"/>
        <w:numPr>
          <w:ilvl w:val="0"/>
          <w:numId w:val="1"/>
        </w:numPr>
        <w:pBdr/>
        <w:spacing/>
        <w:ind/>
        <w:rPr/>
      </w:pPr>
      <w:r>
        <w:t xml:space="preserve">M3: UI and storage features complete.</w:t>
      </w:r>
      <w:r/>
    </w:p>
    <w:p>
      <w:pPr>
        <w:pStyle w:val="922"/>
        <w:numPr>
          <w:ilvl w:val="0"/>
          <w:numId w:val="1"/>
        </w:numPr>
        <w:pBdr/>
        <w:spacing/>
        <w:ind/>
        <w:rPr/>
      </w:pPr>
      <w:r>
        <w:t xml:space="preserve">M4: Test evidence and risk/compliance documentation.</w:t>
      </w:r>
      <w:r/>
    </w:p>
    <w:p>
      <w:pPr>
        <w:pStyle w:val="922"/>
        <w:numPr>
          <w:ilvl w:val="0"/>
          <w:numId w:val="1"/>
        </w:numPr>
        <w:pBdr/>
        <w:spacing/>
        <w:ind/>
        <w:rPr/>
      </w:pPr>
      <w:r>
        <w:t xml:space="preserve">M5: Final report and appendices.</w:t>
      </w:r>
      <w:r/>
    </w:p>
    <w:p>
      <w:pPr>
        <w:pStyle w:val="859"/>
        <w:pBdr/>
        <w:spacing/>
        <w:ind/>
        <w:rPr/>
      </w:pPr>
      <w:r/>
      <w:bookmarkStart w:id="44" w:name="__RefHeading___Toc2407_2076133143"/>
      <w:r/>
      <w:bookmarkEnd w:id="44"/>
      <w:r>
        <w:t xml:space="preserve">Risk Management</w:t>
      </w:r>
      <w:r/>
    </w:p>
    <w:p>
      <w:pPr>
        <w:pStyle w:val="921"/>
        <w:pBdr/>
        <w:spacing/>
        <w:ind/>
        <w:rPr/>
      </w:pPr>
      <w:r>
        <w:t xml:space="preserve">Table 3. Risk register and mitigations.</w:t>
      </w:r>
      <w:r/>
    </w:p>
    <w:tbl>
      <w:tblPr>
        <w:tblStyle w:val="947"/>
        <w:tblInd w:w="0" w:type="dxa"/>
        <w:tblW w:w="5000" w:type="pct"/>
        <w:tblCellMar>
          <w:left w:w="108" w:type="dxa"/>
          <w:top w:w="0" w:type="dxa"/>
          <w:right w:w="108" w:type="dxa"/>
          <w:bottom w:w="0" w:type="dxa"/>
        </w:tblCellMar>
        <w:tblBorders/>
        <w:tblLayout w:type="fixed"/>
        <w:tblLook w:val="0020" w:firstRow="1" w:lastRow="0" w:firstColumn="0" w:lastColumn="0" w:noHBand="0" w:noVBand="0"/>
      </w:tblPr>
      <w:tblGrid>
        <w:gridCol w:w="2339"/>
        <w:gridCol w:w="2340"/>
        <w:gridCol w:w="2340"/>
        <w:gridCol w:w="2341"/>
      </w:tblGrid>
      <w:tr>
        <w:trPr>
          <w:tblHeader/>
        </w:trPr>
        <w:tc>
          <w:tcPr>
            <w:tcBorders>
              <w:bottom w:val="single" w:color="000000" w:sz="6" w:space="0"/>
            </w:tcBorders>
            <w:tcW w:w="2339" w:type="dxa"/>
            <w:vAlign w:val="bottom"/>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Risk</w:t>
            </w:r>
            <w:r>
              <w:rPr>
                <w:rFonts w:ascii="Aptos" w:hAnsi="Aptos"/>
                <w:sz w:val="24"/>
                <w:szCs w:val="24"/>
                <w:lang w:val="en-US" w:eastAsia="zh-CN" w:bidi="ar-SA"/>
              </w:rPr>
            </w:r>
          </w:p>
        </w:tc>
        <w:tc>
          <w:tcPr>
            <w:tcBorders>
              <w:bottom w:val="single" w:color="000000" w:sz="6" w:space="0"/>
            </w:tcBorders>
            <w:tcW w:w="2340" w:type="dxa"/>
            <w:vAlign w:val="bottom"/>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Likelihood</w:t>
            </w:r>
            <w:r>
              <w:rPr>
                <w:rFonts w:ascii="Aptos" w:hAnsi="Aptos"/>
                <w:sz w:val="24"/>
                <w:szCs w:val="24"/>
                <w:lang w:val="en-US" w:eastAsia="zh-CN" w:bidi="ar-SA"/>
              </w:rPr>
            </w:r>
          </w:p>
        </w:tc>
        <w:tc>
          <w:tcPr>
            <w:tcBorders>
              <w:bottom w:val="single" w:color="000000" w:sz="6" w:space="0"/>
            </w:tcBorders>
            <w:tcW w:w="2340" w:type="dxa"/>
            <w:vAlign w:val="bottom"/>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Impact</w:t>
            </w:r>
            <w:r>
              <w:rPr>
                <w:rFonts w:ascii="Aptos" w:hAnsi="Aptos"/>
                <w:sz w:val="24"/>
                <w:szCs w:val="24"/>
                <w:lang w:val="en-US" w:eastAsia="zh-CN" w:bidi="ar-SA"/>
              </w:rPr>
            </w:r>
          </w:p>
        </w:tc>
        <w:tc>
          <w:tcPr>
            <w:tcBorders>
              <w:bottom w:val="single" w:color="000000" w:sz="6" w:space="0"/>
            </w:tcBorders>
            <w:tcW w:w="2341" w:type="dxa"/>
            <w:vAlign w:val="bottom"/>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Mitigation</w:t>
            </w:r>
            <w:r>
              <w:rPr>
                <w:rFonts w:ascii="Aptos" w:hAnsi="Aptos"/>
                <w:sz w:val="24"/>
                <w:szCs w:val="24"/>
                <w:lang w:val="en-US" w:eastAsia="zh-CN" w:bidi="ar-SA"/>
              </w:rPr>
            </w:r>
          </w:p>
        </w:tc>
      </w:tr>
      <w:tr>
        <w:trPr/>
        <w:tc>
          <w:tcPr>
            <w:tcBorders/>
            <w:tcW w:w="2339"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False positives cause alert fatigue</w:t>
            </w:r>
            <w:r>
              <w:rPr>
                <w:rFonts w:ascii="Aptos" w:hAnsi="Aptos"/>
                <w:sz w:val="24"/>
                <w:szCs w:val="24"/>
                <w:lang w:val="en-US" w:eastAsia="zh-CN" w:bidi="ar-SA"/>
              </w:rPr>
            </w:r>
          </w:p>
        </w:tc>
        <w:tc>
          <w:tcPr>
            <w:tcBorders/>
            <w:tcW w:w="234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Medium</w:t>
            </w:r>
            <w:r>
              <w:rPr>
                <w:rFonts w:ascii="Aptos" w:hAnsi="Aptos"/>
                <w:sz w:val="24"/>
                <w:szCs w:val="24"/>
                <w:lang w:val="en-US" w:eastAsia="zh-CN" w:bidi="ar-SA"/>
              </w:rPr>
            </w:r>
          </w:p>
        </w:tc>
        <w:tc>
          <w:tcPr>
            <w:tcBorders/>
            <w:tcW w:w="234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High</w:t>
            </w:r>
            <w:r>
              <w:rPr>
                <w:rFonts w:ascii="Aptos" w:hAnsi="Aptos"/>
                <w:sz w:val="24"/>
                <w:szCs w:val="24"/>
                <w:lang w:val="en-US" w:eastAsia="zh-CN" w:bidi="ar-SA"/>
              </w:rPr>
            </w:r>
          </w:p>
        </w:tc>
        <w:tc>
          <w:tcPr>
            <w:tcBorders/>
            <w:tcW w:w="2341"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Threshold tuning, category summaries, suppression rules</w:t>
            </w:r>
            <w:r>
              <w:rPr>
                <w:rFonts w:ascii="Aptos" w:hAnsi="Aptos"/>
                <w:sz w:val="24"/>
                <w:szCs w:val="24"/>
                <w:lang w:val="en-US" w:eastAsia="zh-CN" w:bidi="ar-SA"/>
              </w:rPr>
            </w:r>
          </w:p>
        </w:tc>
      </w:tr>
      <w:tr>
        <w:trPr/>
        <w:tc>
          <w:tcPr>
            <w:tcBorders/>
            <w:tcW w:w="2339"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False negatives miss sensitive content</w:t>
            </w:r>
            <w:r>
              <w:rPr>
                <w:rFonts w:ascii="Aptos" w:hAnsi="Aptos"/>
                <w:sz w:val="24"/>
                <w:szCs w:val="24"/>
                <w:lang w:val="en-US" w:eastAsia="zh-CN" w:bidi="ar-SA"/>
              </w:rPr>
            </w:r>
          </w:p>
        </w:tc>
        <w:tc>
          <w:tcPr>
            <w:tcBorders/>
            <w:tcW w:w="234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Medium</w:t>
            </w:r>
            <w:r>
              <w:rPr>
                <w:rFonts w:ascii="Aptos" w:hAnsi="Aptos"/>
                <w:sz w:val="24"/>
                <w:szCs w:val="24"/>
                <w:lang w:val="en-US" w:eastAsia="zh-CN" w:bidi="ar-SA"/>
              </w:rPr>
            </w:r>
          </w:p>
        </w:tc>
        <w:tc>
          <w:tcPr>
            <w:tcBorders/>
            <w:tcW w:w="234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High</w:t>
            </w:r>
            <w:r>
              <w:rPr>
                <w:rFonts w:ascii="Aptos" w:hAnsi="Aptos"/>
                <w:sz w:val="24"/>
                <w:szCs w:val="24"/>
                <w:lang w:val="en-US" w:eastAsia="zh-CN" w:bidi="ar-SA"/>
              </w:rPr>
            </w:r>
          </w:p>
        </w:tc>
        <w:tc>
          <w:tcPr>
            <w:tcBorders/>
            <w:tcW w:w="2341"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Expand rule sets, YARA curation, periodic test updates</w:t>
            </w:r>
            <w:r>
              <w:rPr>
                <w:rFonts w:ascii="Aptos" w:hAnsi="Aptos"/>
                <w:sz w:val="24"/>
                <w:szCs w:val="24"/>
                <w:lang w:val="en-US" w:eastAsia="zh-CN" w:bidi="ar-SA"/>
              </w:rPr>
            </w:r>
          </w:p>
        </w:tc>
      </w:tr>
      <w:tr>
        <w:trPr/>
        <w:tc>
          <w:tcPr>
            <w:tcBorders/>
            <w:tcW w:w="2339"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Privacy concerns from stored clipboard text</w:t>
            </w:r>
            <w:r>
              <w:rPr>
                <w:rFonts w:ascii="Aptos" w:hAnsi="Aptos"/>
                <w:sz w:val="24"/>
                <w:szCs w:val="24"/>
                <w:lang w:val="en-US" w:eastAsia="zh-CN" w:bidi="ar-SA"/>
              </w:rPr>
            </w:r>
          </w:p>
        </w:tc>
        <w:tc>
          <w:tcPr>
            <w:tcBorders/>
            <w:tcW w:w="234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Medium</w:t>
            </w:r>
            <w:r>
              <w:rPr>
                <w:rFonts w:ascii="Aptos" w:hAnsi="Aptos"/>
                <w:sz w:val="24"/>
                <w:szCs w:val="24"/>
                <w:lang w:val="en-US" w:eastAsia="zh-CN" w:bidi="ar-SA"/>
              </w:rPr>
            </w:r>
          </w:p>
        </w:tc>
        <w:tc>
          <w:tcPr>
            <w:tcBorders/>
            <w:tcW w:w="234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High</w:t>
            </w:r>
            <w:r>
              <w:rPr>
                <w:rFonts w:ascii="Aptos" w:hAnsi="Aptos"/>
                <w:sz w:val="24"/>
                <w:szCs w:val="24"/>
                <w:lang w:val="en-US" w:eastAsia="zh-CN" w:bidi="ar-SA"/>
              </w:rPr>
            </w:r>
          </w:p>
        </w:tc>
        <w:tc>
          <w:tcPr>
            <w:tcBorders/>
            <w:tcW w:w="2341"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Data minimization mode, retention policy, local encryption</w:t>
            </w:r>
            <w:r>
              <w:rPr>
                <w:rFonts w:ascii="Aptos" w:hAnsi="Aptos"/>
                <w:sz w:val="24"/>
                <w:szCs w:val="24"/>
                <w:lang w:val="en-US" w:eastAsia="zh-CN" w:bidi="ar-SA"/>
              </w:rPr>
            </w:r>
          </w:p>
        </w:tc>
      </w:tr>
      <w:tr>
        <w:trPr/>
        <w:tc>
          <w:tcPr>
            <w:tcBorders/>
            <w:tcW w:w="2339"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Platform dependency issues</w:t>
            </w:r>
            <w:r>
              <w:rPr>
                <w:rFonts w:ascii="Aptos" w:hAnsi="Aptos"/>
                <w:sz w:val="24"/>
                <w:szCs w:val="24"/>
                <w:lang w:val="en-US" w:eastAsia="zh-CN" w:bidi="ar-SA"/>
              </w:rPr>
            </w:r>
          </w:p>
        </w:tc>
        <w:tc>
          <w:tcPr>
            <w:tcBorders/>
            <w:tcW w:w="234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Medium</w:t>
            </w:r>
            <w:r>
              <w:rPr>
                <w:rFonts w:ascii="Aptos" w:hAnsi="Aptos"/>
                <w:sz w:val="24"/>
                <w:szCs w:val="24"/>
                <w:lang w:val="en-US" w:eastAsia="zh-CN" w:bidi="ar-SA"/>
              </w:rPr>
            </w:r>
          </w:p>
        </w:tc>
        <w:tc>
          <w:tcPr>
            <w:tcBorders/>
            <w:tcW w:w="234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Medium</w:t>
            </w:r>
            <w:r>
              <w:rPr>
                <w:rFonts w:ascii="Aptos" w:hAnsi="Aptos"/>
                <w:sz w:val="24"/>
                <w:szCs w:val="24"/>
                <w:lang w:val="en-US" w:eastAsia="zh-CN" w:bidi="ar-SA"/>
              </w:rPr>
            </w:r>
          </w:p>
        </w:tc>
        <w:tc>
          <w:tcPr>
            <w:tcBorders/>
            <w:tcW w:w="2341"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Cross-platform abstraction and fallback logic</w:t>
            </w:r>
            <w:r>
              <w:rPr>
                <w:rFonts w:ascii="Aptos" w:hAnsi="Aptos"/>
                <w:sz w:val="24"/>
                <w:szCs w:val="24"/>
                <w:lang w:val="en-US" w:eastAsia="zh-CN" w:bidi="ar-SA"/>
              </w:rPr>
            </w:r>
          </w:p>
        </w:tc>
      </w:tr>
      <w:tr>
        <w:trPr/>
        <w:tc>
          <w:tcPr>
            <w:tcBorders/>
            <w:tcW w:w="2339"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UI instability under large history volume</w:t>
            </w:r>
            <w:r>
              <w:rPr>
                <w:rFonts w:ascii="Aptos" w:hAnsi="Aptos"/>
                <w:sz w:val="24"/>
                <w:szCs w:val="24"/>
                <w:lang w:val="en-US" w:eastAsia="zh-CN" w:bidi="ar-SA"/>
              </w:rPr>
            </w:r>
          </w:p>
        </w:tc>
        <w:tc>
          <w:tcPr>
            <w:tcBorders/>
            <w:tcW w:w="234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Low</w:t>
            </w:r>
            <w:r>
              <w:rPr>
                <w:rFonts w:ascii="Aptos" w:hAnsi="Aptos"/>
                <w:sz w:val="24"/>
                <w:szCs w:val="24"/>
                <w:lang w:val="en-US" w:eastAsia="zh-CN" w:bidi="ar-SA"/>
              </w:rPr>
            </w:r>
          </w:p>
        </w:tc>
        <w:tc>
          <w:tcPr>
            <w:tcBorders/>
            <w:tcW w:w="234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Medium</w:t>
            </w:r>
            <w:r>
              <w:rPr>
                <w:rFonts w:ascii="Aptos" w:hAnsi="Aptos"/>
                <w:sz w:val="24"/>
                <w:szCs w:val="24"/>
                <w:lang w:val="en-US" w:eastAsia="zh-CN" w:bidi="ar-SA"/>
              </w:rPr>
            </w:r>
          </w:p>
        </w:tc>
        <w:tc>
          <w:tcPr>
            <w:tcBorders/>
            <w:tcW w:w="2341"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Pagination, indexing, async updates</w:t>
            </w:r>
            <w:r>
              <w:rPr>
                <w:rFonts w:ascii="Aptos" w:hAnsi="Aptos"/>
                <w:sz w:val="24"/>
                <w:szCs w:val="24"/>
                <w:lang w:val="en-US" w:eastAsia="zh-CN" w:bidi="ar-SA"/>
              </w:rPr>
            </w:r>
          </w:p>
        </w:tc>
      </w:tr>
      <w:tr>
        <w:trPr/>
        <w:tc>
          <w:tcPr>
            <w:tcBorders/>
            <w:tcW w:w="2339"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Dependency vulnerabilities</w:t>
            </w:r>
            <w:r>
              <w:rPr>
                <w:rFonts w:ascii="Aptos" w:hAnsi="Aptos"/>
                <w:sz w:val="24"/>
                <w:szCs w:val="24"/>
                <w:lang w:val="en-US" w:eastAsia="zh-CN" w:bidi="ar-SA"/>
              </w:rPr>
            </w:r>
          </w:p>
        </w:tc>
        <w:tc>
          <w:tcPr>
            <w:tcBorders/>
            <w:tcW w:w="234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Medium</w:t>
            </w:r>
            <w:r>
              <w:rPr>
                <w:rFonts w:ascii="Aptos" w:hAnsi="Aptos"/>
                <w:sz w:val="24"/>
                <w:szCs w:val="24"/>
                <w:lang w:val="en-US" w:eastAsia="zh-CN" w:bidi="ar-SA"/>
              </w:rPr>
            </w:r>
          </w:p>
        </w:tc>
        <w:tc>
          <w:tcPr>
            <w:tcBorders/>
            <w:tcW w:w="234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Medium</w:t>
            </w:r>
            <w:r>
              <w:rPr>
                <w:rFonts w:ascii="Aptos" w:hAnsi="Aptos"/>
                <w:sz w:val="24"/>
                <w:szCs w:val="24"/>
                <w:lang w:val="en-US" w:eastAsia="zh-CN" w:bidi="ar-SA"/>
              </w:rPr>
            </w:r>
          </w:p>
        </w:tc>
        <w:tc>
          <w:tcPr>
            <w:tcBorders/>
            <w:tcW w:w="2341"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Version pinning and periodic SCA checks</w:t>
            </w:r>
            <w:bookmarkStart w:id="45" w:name="risk-management"/>
            <w:r/>
            <w:bookmarkEnd w:id="45"/>
            <w:r/>
            <w:r>
              <w:rPr>
                <w:rFonts w:ascii="Aptos" w:hAnsi="Aptos"/>
                <w:sz w:val="24"/>
                <w:szCs w:val="24"/>
                <w:lang w:val="en-US" w:eastAsia="zh-CN" w:bidi="ar-SA"/>
              </w:rPr>
            </w:r>
          </w:p>
        </w:tc>
      </w:tr>
    </w:tbl>
    <w:p>
      <w:pPr>
        <w:pStyle w:val="859"/>
        <w:pBdr/>
        <w:spacing/>
        <w:ind/>
        <w:rPr/>
      </w:pPr>
      <w:r/>
      <w:bookmarkStart w:id="46" w:name="__RefHeading___Toc2409_2076133143"/>
      <w:r/>
      <w:bookmarkEnd w:id="46"/>
      <w:r>
        <w:t xml:space="preserve">Ethical Considerations</w:t>
      </w:r>
      <w:r/>
    </w:p>
    <w:p>
      <w:pPr>
        <w:pStyle w:val="922"/>
        <w:numPr>
          <w:ilvl w:val="0"/>
          <w:numId w:val="2"/>
        </w:numPr>
        <w:pBdr/>
        <w:spacing/>
        <w:ind/>
        <w:rPr/>
      </w:pPr>
      <w:r>
        <w:t xml:space="preserve">User privacy: clipboard may include personal or confidential data.</w:t>
      </w:r>
      <w:r/>
    </w:p>
    <w:p>
      <w:pPr>
        <w:pStyle w:val="922"/>
        <w:numPr>
          <w:ilvl w:val="0"/>
          <w:numId w:val="2"/>
        </w:numPr>
        <w:pBdr/>
        <w:spacing/>
        <w:ind/>
        <w:rPr/>
      </w:pPr>
      <w:r>
        <w:t xml:space="preserve">Consent and transparency: users must be informed of monitoring and storage behavior.</w:t>
      </w:r>
      <w:r/>
    </w:p>
    <w:p>
      <w:pPr>
        <w:pStyle w:val="922"/>
        <w:numPr>
          <w:ilvl w:val="0"/>
          <w:numId w:val="2"/>
        </w:numPr>
        <w:pBdr/>
        <w:spacing/>
        <w:ind/>
        <w:rPr/>
      </w:pPr>
      <w:r>
        <w:t xml:space="preserve">Proportionality: controls should reduce harm without excessive surveillance.</w:t>
      </w:r>
      <w:r/>
    </w:p>
    <w:p>
      <w:pPr>
        <w:pStyle w:val="922"/>
        <w:numPr>
          <w:ilvl w:val="0"/>
          <w:numId w:val="2"/>
        </w:numPr>
        <w:pBdr/>
        <w:spacing/>
        <w:ind/>
        <w:rPr/>
      </w:pPr>
      <w:r>
        <w:t xml:space="preserve">Data handling ethics: avoid unnecessary collection and apply least-privilege access.</w:t>
      </w:r>
      <w:r/>
    </w:p>
    <w:p>
      <w:pPr>
        <w:pStyle w:val="859"/>
        <w:pBdr/>
        <w:spacing/>
        <w:ind/>
        <w:rPr/>
      </w:pPr>
      <w:r/>
      <w:bookmarkStart w:id="47" w:name="__RefHeading___Toc2411_2076133143"/>
      <w:r/>
      <w:bookmarkStart w:id="48" w:name="legal-and-regulatory-issues"/>
      <w:r/>
      <w:bookmarkEnd w:id="47"/>
      <w:r>
        <w:t xml:space="preserve">Legal and Regulatory Issues</w:t>
      </w:r>
      <w:r/>
    </w:p>
    <w:p>
      <w:pPr>
        <w:pStyle w:val="921"/>
        <w:pBdr/>
        <w:spacing/>
        <w:ind/>
        <w:rPr/>
      </w:pPr>
      <w:r>
        <w:t xml:space="preserve">Potential issues include:</w:t>
      </w:r>
      <w:r/>
    </w:p>
    <w:p>
      <w:pPr>
        <w:pStyle w:val="922"/>
        <w:numPr>
          <w:ilvl w:val="0"/>
          <w:numId w:val="2"/>
        </w:numPr>
        <w:pBdr/>
        <w:spacing/>
        <w:ind/>
        <w:rPr/>
      </w:pPr>
      <w:r>
        <w:t xml:space="preserve">Lawful basis and transparency for monitoring under privacy laws.</w:t>
      </w:r>
      <w:r/>
    </w:p>
    <w:p>
      <w:pPr>
        <w:pStyle w:val="922"/>
        <w:numPr>
          <w:ilvl w:val="0"/>
          <w:numId w:val="2"/>
        </w:numPr>
        <w:pBdr/>
        <w:spacing/>
        <w:ind/>
        <w:rPr/>
      </w:pPr>
      <w:r>
        <w:t xml:space="preserve">Retention and deletion obligations for copied personal data.</w:t>
      </w:r>
      <w:r/>
    </w:p>
    <w:p>
      <w:pPr>
        <w:pStyle w:val="922"/>
        <w:numPr>
          <w:ilvl w:val="0"/>
          <w:numId w:val="2"/>
        </w:numPr>
        <w:pBdr/>
        <w:spacing/>
        <w:ind/>
        <w:rPr/>
      </w:pPr>
      <w:r>
        <w:t xml:space="preserve">Access control and breach notification duties for stored sensitive records.</w:t>
      </w:r>
      <w:bookmarkEnd w:id="48"/>
      <w:r/>
      <w:r/>
    </w:p>
    <w:p>
      <w:pPr>
        <w:pStyle w:val="859"/>
        <w:pBdr/>
        <w:spacing/>
        <w:ind/>
        <w:rPr/>
      </w:pPr>
      <w:r/>
      <w:bookmarkStart w:id="49" w:name="__RefHeading___Toc2413_2076133143"/>
      <w:r/>
      <w:bookmarkStart w:id="50" w:name="compliance-approach"/>
      <w:r/>
      <w:bookmarkEnd w:id="49"/>
      <w:r>
        <w:t xml:space="preserve">Compliance Approach</w:t>
      </w:r>
      <w:r/>
    </w:p>
    <w:p>
      <w:pPr>
        <w:pStyle w:val="921"/>
        <w:pBdr/>
        <w:spacing/>
        <w:ind/>
        <w:rPr/>
      </w:pPr>
      <w:r>
        <w:t xml:space="preserve">The project aligns conceptually with:</w:t>
      </w:r>
      <w:r/>
    </w:p>
    <w:p>
      <w:pPr>
        <w:pStyle w:val="922"/>
        <w:numPr>
          <w:ilvl w:val="0"/>
          <w:numId w:val="2"/>
        </w:numPr>
        <w:pBdr/>
        <w:spacing/>
        <w:ind/>
        <w:rPr/>
      </w:pPr>
      <w:r>
        <w:t xml:space="preserve">ISO/IEC 27001: risk treatment, access control, and logging.</w:t>
      </w:r>
      <w:r/>
    </w:p>
    <w:p>
      <w:pPr>
        <w:pStyle w:val="922"/>
        <w:numPr>
          <w:ilvl w:val="0"/>
          <w:numId w:val="2"/>
        </w:numPr>
        <w:pBdr/>
        <w:spacing/>
        <w:ind/>
        <w:rPr/>
      </w:pPr>
      <w:r>
        <w:t xml:space="preserve">GDPR principles: minimization, purpose limitation, and storage limitation.</w:t>
      </w:r>
      <w:r/>
    </w:p>
    <w:p>
      <w:pPr>
        <w:pStyle w:val="922"/>
        <w:numPr>
          <w:ilvl w:val="0"/>
          <w:numId w:val="2"/>
        </w:numPr>
        <w:pBdr/>
        <w:spacing/>
        <w:ind/>
        <w:rPr/>
      </w:pPr>
      <w:r>
        <w:t xml:space="preserve">NIST CSF: detect and respond functions for endpoint data handling risks.</w:t>
      </w:r>
      <w:r/>
    </w:p>
    <w:p>
      <w:pPr>
        <w:pStyle w:val="921"/>
        <w:pBdr/>
        <w:spacing/>
        <w:ind/>
        <w:rPr/>
      </w:pPr>
      <w:r>
        <w:t xml:space="preserve">Compliance assurance methods:</w:t>
      </w:r>
      <w:r/>
    </w:p>
    <w:p>
      <w:pPr>
        <w:pStyle w:val="922"/>
        <w:numPr>
          <w:ilvl w:val="0"/>
          <w:numId w:val="88"/>
        </w:numPr>
        <w:pBdr/>
        <w:spacing/>
        <w:ind/>
        <w:rPr/>
      </w:pPr>
      <w:r>
        <w:t xml:space="preserve">Periodic rule and policy review.</w:t>
      </w:r>
      <w:r/>
    </w:p>
    <w:p>
      <w:pPr>
        <w:pStyle w:val="922"/>
        <w:numPr>
          <w:ilvl w:val="0"/>
          <w:numId w:val="1"/>
        </w:numPr>
        <w:pBdr/>
        <w:spacing/>
        <w:ind/>
        <w:rPr/>
      </w:pPr>
      <w:r>
        <w:t xml:space="preserve">Audit trail validation through logs and exports.</w:t>
      </w:r>
      <w:r/>
    </w:p>
    <w:p>
      <w:pPr>
        <w:pStyle w:val="922"/>
        <w:numPr>
          <w:ilvl w:val="0"/>
          <w:numId w:val="1"/>
        </w:numPr>
        <w:pBdr/>
        <w:spacing/>
        <w:ind/>
        <w:rPr/>
      </w:pPr>
      <w:r>
        <w:t xml:space="preserve">Configuration review against defined retention and response policies.</w:t>
      </w:r>
      <w:r/>
    </w:p>
    <w:p>
      <w:pPr>
        <w:pStyle w:val="922"/>
        <w:numPr>
          <w:ilvl w:val="0"/>
          <w:numId w:val="1"/>
        </w:numPr>
        <w:pBdr/>
        <w:spacing/>
        <w:ind/>
        <w:rPr/>
      </w:pPr>
      <w:r>
        <w:t xml:space="preserve">Repeated test execution before release.</w:t>
      </w:r>
      <w:r/>
    </w:p>
    <w:p>
      <w:pPr>
        <w:pStyle w:val="856"/>
        <w:pBdr/>
        <w:spacing/>
        <w:ind/>
        <w:rPr/>
      </w:pPr>
      <w:r/>
      <w:bookmarkEnd w:id="38"/>
      <w:r/>
      <w:bookmarkEnd w:id="50"/>
      <w:r/>
      <w:r/>
    </w:p>
    <w:p>
      <w:pPr>
        <w:pStyle w:val="858"/>
        <w:pBdr/>
        <w:spacing/>
        <w:ind/>
        <w:rPr/>
      </w:pPr>
      <w:r/>
      <w:bookmarkStart w:id="51" w:name="__RefHeading___Toc2415_2076133143"/>
      <w:r/>
      <w:bookmarkStart w:id="52" w:name="results-and-findings"/>
      <w:r/>
      <w:bookmarkEnd w:id="51"/>
      <w:r>
        <w:t xml:space="preserve">Results and Findings</w:t>
      </w:r>
      <w:r/>
    </w:p>
    <w:p>
      <w:pPr>
        <w:pStyle w:val="859"/>
        <w:pBdr/>
        <w:spacing/>
        <w:ind/>
        <w:rPr/>
      </w:pPr>
      <w:r/>
      <w:bookmarkStart w:id="53" w:name="__RefHeading___Toc2417_2076133143"/>
      <w:r/>
      <w:bookmarkStart w:id="54" w:name="data-collection-and-analysis-process"/>
      <w:r/>
      <w:bookmarkEnd w:id="53"/>
      <w:r>
        <w:t xml:space="preserve">Data Collection and Analysis Process</w:t>
      </w:r>
      <w:r/>
    </w:p>
    <w:p>
      <w:pPr>
        <w:pStyle w:val="921"/>
        <w:pBdr/>
        <w:spacing/>
        <w:ind/>
        <w:rPr/>
      </w:pPr>
      <w:r>
        <w:t xml:space="preserve">Evidence was collected through:</w:t>
      </w:r>
      <w:r/>
    </w:p>
    <w:p>
      <w:pPr>
        <w:pStyle w:val="922"/>
        <w:numPr>
          <w:ilvl w:val="0"/>
          <w:numId w:val="2"/>
        </w:numPr>
        <w:pBdr/>
        <w:spacing/>
        <w:ind/>
        <w:rPr/>
      </w:pPr>
      <w:r>
        <w:t xml:space="preserve">Automated tests for analyzer and UI behavior.</w:t>
      </w:r>
      <w:r/>
    </w:p>
    <w:p>
      <w:pPr>
        <w:pStyle w:val="922"/>
        <w:numPr>
          <w:ilvl w:val="0"/>
          <w:numId w:val="2"/>
        </w:numPr>
        <w:pBdr/>
        <w:spacing/>
        <w:ind/>
        <w:rPr/>
      </w:pPr>
      <w:r>
        <w:t xml:space="preserve">Manual runtime observation of monitor and event flow.</w:t>
      </w:r>
      <w:r/>
    </w:p>
    <w:p>
      <w:pPr>
        <w:pStyle w:val="922"/>
        <w:numPr>
          <w:ilvl w:val="0"/>
          <w:numId w:val="2"/>
        </w:numPr>
        <w:pBdr/>
        <w:spacing/>
        <w:ind/>
        <w:rPr/>
      </w:pPr>
      <w:r>
        <w:t xml:space="preserve">Code-level verification of architecture alignment.</w:t>
      </w:r>
      <w:r/>
    </w:p>
    <w:p>
      <w:pPr>
        <w:pStyle w:val="921"/>
        <w:pBdr/>
        <w:spacing/>
        <w:ind/>
        <w:rPr/>
      </w:pPr>
      <w:r>
        <w:t xml:space="preserve">Observed challenge: Running tests without source path setup causes import errors.</w:t>
        <w:br/>
        <w:t xml:space="preserve">Resolution: Setting PYTHONPATH=src enables module discovery.</w:t>
      </w:r>
      <w:bookmarkEnd w:id="54"/>
      <w:r/>
      <w:r/>
    </w:p>
    <w:p>
      <w:pPr>
        <w:pStyle w:val="859"/>
        <w:pBdr/>
        <w:spacing/>
        <w:ind/>
        <w:rPr/>
      </w:pPr>
      <w:r/>
      <w:bookmarkStart w:id="55" w:name="__RefHeading___Toc2419_2076133143"/>
      <w:r/>
      <w:bookmarkStart w:id="56" w:name="findings"/>
      <w:r/>
      <w:bookmarkEnd w:id="55"/>
      <w:r>
        <w:t xml:space="preserve">Findings</w:t>
      </w:r>
      <w:r/>
    </w:p>
    <w:p>
      <w:pPr>
        <w:pStyle w:val="921"/>
        <w:pBdr/>
        <w:spacing/>
        <w:ind/>
        <w:rPr/>
      </w:pPr>
      <w:r>
        <w:t xml:space="preserve">Test execution evidence:</w:t>
      </w:r>
      <w:r/>
    </w:p>
    <w:p>
      <w:pPr>
        <w:pStyle w:val="922"/>
        <w:numPr>
          <w:ilvl w:val="0"/>
          <w:numId w:val="2"/>
        </w:numPr>
        <w:pBdr/>
        <w:spacing/>
        <w:ind/>
        <w:rPr/>
      </w:pPr>
      <w:r>
        <w:t xml:space="preserve">Command: PYTHONPATH=src pytest -q</w:t>
      </w:r>
      <w:r/>
    </w:p>
    <w:p>
      <w:pPr>
        <w:pStyle w:val="922"/>
        <w:numPr>
          <w:ilvl w:val="0"/>
          <w:numId w:val="2"/>
        </w:numPr>
        <w:pBdr/>
        <w:spacing/>
        <w:ind/>
        <w:rPr/>
      </w:pPr>
      <w:r>
        <w:t xml:space="preserve">Outcome: 7 passed in 1.22s</w:t>
      </w:r>
      <w:r/>
    </w:p>
    <w:p>
      <w:pPr>
        <w:pStyle w:val="921"/>
        <w:pBdr/>
        <w:spacing/>
        <w:ind/>
        <w:rPr/>
      </w:pPr>
      <w:r>
        <w:t xml:space="preserve">Table 5. Test evidence summary.</w:t>
      </w:r>
      <w:r/>
    </w:p>
    <w:tbl>
      <w:tblPr>
        <w:tblStyle w:val="947"/>
        <w:tblInd w:w="0" w:type="dxa"/>
        <w:tblW w:w="7920" w:type="dxa"/>
        <w:tblCellMar>
          <w:left w:w="108" w:type="dxa"/>
          <w:top w:w="0" w:type="dxa"/>
          <w:right w:w="108" w:type="dxa"/>
          <w:bottom w:w="0" w:type="dxa"/>
        </w:tblCellMar>
        <w:tblBorders/>
        <w:tblLayout w:type="fixed"/>
        <w:tblLook w:val="0020" w:firstRow="1" w:lastRow="0" w:firstColumn="0" w:lastColumn="0" w:noHBand="0" w:noVBand="0"/>
      </w:tblPr>
      <w:tblGrid>
        <w:gridCol w:w="3960"/>
        <w:gridCol w:w="3960"/>
      </w:tblGrid>
      <w:tr>
        <w:trPr>
          <w:tblHeader/>
        </w:trPr>
        <w:tc>
          <w:tcPr>
            <w:tcBorders>
              <w:bottom w:val="single" w:color="000000" w:sz="6" w:space="0"/>
            </w:tcBorders>
            <w:tcW w:w="3960" w:type="dxa"/>
            <w:vAlign w:val="bottom"/>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Test Focus</w:t>
            </w:r>
            <w:r>
              <w:rPr>
                <w:rFonts w:ascii="Aptos" w:hAnsi="Aptos"/>
                <w:sz w:val="24"/>
                <w:szCs w:val="24"/>
                <w:lang w:val="en-US" w:eastAsia="zh-CN" w:bidi="ar-SA"/>
              </w:rPr>
            </w:r>
          </w:p>
        </w:tc>
        <w:tc>
          <w:tcPr>
            <w:tcBorders>
              <w:bottom w:val="single" w:color="000000" w:sz="6" w:space="0"/>
            </w:tcBorders>
            <w:tcW w:w="3960" w:type="dxa"/>
            <w:vAlign w:val="bottom"/>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Result</w:t>
            </w:r>
            <w:r>
              <w:rPr>
                <w:rFonts w:ascii="Aptos" w:hAnsi="Aptos"/>
                <w:sz w:val="24"/>
                <w:szCs w:val="24"/>
                <w:lang w:val="en-US" w:eastAsia="zh-CN" w:bidi="ar-SA"/>
              </w:rPr>
            </w:r>
          </w:p>
        </w:tc>
      </w:tr>
      <w:tr>
        <w:trPr/>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BTC pattern detection and risk assignment</w:t>
            </w:r>
            <w:r>
              <w:rPr>
                <w:rFonts w:ascii="Aptos" w:hAnsi="Aptos"/>
                <w:sz w:val="24"/>
                <w:szCs w:val="24"/>
                <w:lang w:val="en-US" w:eastAsia="zh-CN" w:bidi="ar-SA"/>
              </w:rPr>
            </w:r>
          </w:p>
        </w:tc>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Passed</w:t>
            </w:r>
            <w:r>
              <w:rPr>
                <w:rFonts w:ascii="Aptos" w:hAnsi="Aptos"/>
                <w:sz w:val="24"/>
                <w:szCs w:val="24"/>
                <w:lang w:val="en-US" w:eastAsia="zh-CN" w:bidi="ar-SA"/>
              </w:rPr>
            </w:r>
          </w:p>
        </w:tc>
      </w:tr>
      <w:tr>
        <w:trPr/>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Entropy/API key-like risk behavior</w:t>
            </w:r>
            <w:r>
              <w:rPr>
                <w:rFonts w:ascii="Aptos" w:hAnsi="Aptos"/>
                <w:sz w:val="24"/>
                <w:szCs w:val="24"/>
                <w:lang w:val="en-US" w:eastAsia="zh-CN" w:bidi="ar-SA"/>
              </w:rPr>
            </w:r>
          </w:p>
        </w:tc>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Passed</w:t>
            </w:r>
            <w:r>
              <w:rPr>
                <w:rFonts w:ascii="Aptos" w:hAnsi="Aptos"/>
                <w:sz w:val="24"/>
                <w:szCs w:val="24"/>
                <w:lang w:val="en-US" w:eastAsia="zh-CN" w:bidi="ar-SA"/>
              </w:rPr>
            </w:r>
          </w:p>
        </w:tc>
      </w:tr>
      <w:tr>
        <w:trPr/>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UI preview rendering</w:t>
            </w:r>
            <w:r>
              <w:rPr>
                <w:rFonts w:ascii="Aptos" w:hAnsi="Aptos"/>
                <w:sz w:val="24"/>
                <w:szCs w:val="24"/>
                <w:lang w:val="en-US" w:eastAsia="zh-CN" w:bidi="ar-SA"/>
              </w:rPr>
            </w:r>
          </w:p>
        </w:tc>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Passed</w:t>
            </w:r>
            <w:r>
              <w:rPr>
                <w:rFonts w:ascii="Aptos" w:hAnsi="Aptos"/>
                <w:sz w:val="24"/>
                <w:szCs w:val="24"/>
                <w:lang w:val="en-US" w:eastAsia="zh-CN" w:bidi="ar-SA"/>
              </w:rPr>
            </w:r>
          </w:p>
        </w:tc>
      </w:tr>
      <w:tr>
        <w:trPr/>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Copy-to-clipboard behavior</w:t>
            </w:r>
            <w:r>
              <w:rPr>
                <w:rFonts w:ascii="Aptos" w:hAnsi="Aptos"/>
                <w:sz w:val="24"/>
                <w:szCs w:val="24"/>
                <w:lang w:val="en-US" w:eastAsia="zh-CN" w:bidi="ar-SA"/>
              </w:rPr>
            </w:r>
          </w:p>
        </w:tc>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Passed</w:t>
            </w:r>
            <w:r>
              <w:rPr>
                <w:rFonts w:ascii="Aptos" w:hAnsi="Aptos"/>
                <w:sz w:val="24"/>
                <w:szCs w:val="24"/>
                <w:lang w:val="en-US" w:eastAsia="zh-CN" w:bidi="ar-SA"/>
              </w:rPr>
            </w:r>
          </w:p>
        </w:tc>
      </w:tr>
      <w:tr>
        <w:trPr/>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Sensitive copy warning prefix behavior</w:t>
            </w:r>
            <w:r>
              <w:rPr>
                <w:rFonts w:ascii="Aptos" w:hAnsi="Aptos"/>
                <w:sz w:val="24"/>
                <w:szCs w:val="24"/>
                <w:lang w:val="en-US" w:eastAsia="zh-CN" w:bidi="ar-SA"/>
              </w:rPr>
            </w:r>
          </w:p>
        </w:tc>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Passed</w:t>
            </w:r>
            <w:r>
              <w:rPr>
                <w:rFonts w:ascii="Aptos" w:hAnsi="Aptos"/>
                <w:sz w:val="24"/>
                <w:szCs w:val="24"/>
                <w:lang w:val="en-US" w:eastAsia="zh-CN" w:bidi="ar-SA"/>
              </w:rPr>
            </w:r>
          </w:p>
        </w:tc>
      </w:tr>
      <w:tr>
        <w:trPr/>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Preview scroll handling</w:t>
            </w:r>
            <w:r>
              <w:rPr>
                <w:rFonts w:ascii="Aptos" w:hAnsi="Aptos"/>
                <w:sz w:val="24"/>
                <w:szCs w:val="24"/>
                <w:lang w:val="en-US" w:eastAsia="zh-CN" w:bidi="ar-SA"/>
              </w:rPr>
            </w:r>
          </w:p>
        </w:tc>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Passed</w:t>
            </w:r>
            <w:r>
              <w:rPr>
                <w:rFonts w:ascii="Aptos" w:hAnsi="Aptos"/>
                <w:sz w:val="24"/>
                <w:szCs w:val="24"/>
                <w:lang w:val="en-US" w:eastAsia="zh-CN" w:bidi="ar-SA"/>
              </w:rPr>
            </w:r>
          </w:p>
        </w:tc>
      </w:tr>
      <w:tr>
        <w:trPr/>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Monitor source-capture fallback heuristics</w:t>
            </w:r>
            <w:r>
              <w:rPr>
                <w:rFonts w:ascii="Aptos" w:hAnsi="Aptos"/>
                <w:sz w:val="24"/>
                <w:szCs w:val="24"/>
                <w:lang w:val="en-US" w:eastAsia="zh-CN" w:bidi="ar-SA"/>
              </w:rPr>
            </w:r>
          </w:p>
        </w:tc>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Passed</w:t>
            </w:r>
            <w:r>
              <w:rPr>
                <w:rFonts w:ascii="Aptos" w:hAnsi="Aptos"/>
                <w:sz w:val="24"/>
                <w:szCs w:val="24"/>
                <w:lang w:val="en-US" w:eastAsia="zh-CN" w:bidi="ar-SA"/>
              </w:rPr>
            </w:r>
          </w:p>
        </w:tc>
      </w:tr>
    </w:tbl>
    <w:p>
      <w:pPr>
        <w:pStyle w:val="917"/>
        <w:pBdr/>
        <w:spacing/>
        <w:ind/>
        <w:rPr/>
      </w:pPr>
      <w:r>
        <w:t xml:space="preserve">Key implementation findings:</w:t>
      </w:r>
      <w:r/>
    </w:p>
    <w:p>
      <w:pPr>
        <w:pStyle w:val="922"/>
        <w:numPr>
          <w:ilvl w:val="0"/>
          <w:numId w:val="89"/>
        </w:numPr>
        <w:pBdr/>
        <w:spacing/>
        <w:ind/>
        <w:rPr/>
      </w:pPr>
      <w:r>
        <w:t xml:space="preserve">Modular architecture separates capture, detection, and persistence cleanly.</w:t>
      </w:r>
      <w:r/>
    </w:p>
    <w:p>
      <w:pPr>
        <w:pStyle w:val="922"/>
        <w:numPr>
          <w:ilvl w:val="0"/>
          <w:numId w:val="1"/>
        </w:numPr>
        <w:pBdr/>
        <w:spacing/>
        <w:ind/>
        <w:rPr/>
      </w:pPr>
      <w:r>
        <w:t xml:space="preserve">Regex and YARA hybrid model is practical for a prototype.</w:t>
      </w:r>
      <w:r/>
    </w:p>
    <w:p>
      <w:pPr>
        <w:pStyle w:val="922"/>
        <w:numPr>
          <w:ilvl w:val="0"/>
          <w:numId w:val="1"/>
        </w:numPr>
        <w:pBdr/>
        <w:spacing/>
        <w:ind/>
        <w:rPr/>
      </w:pPr>
      <w:r>
        <w:t xml:space="preserve">Sensitive-copy prefixing provides immediate user signal before paste operations.</w:t>
      </w:r>
      <w:r/>
    </w:p>
    <w:p>
      <w:pPr>
        <w:pStyle w:val="922"/>
        <w:numPr>
          <w:ilvl w:val="0"/>
          <w:numId w:val="1"/>
        </w:numPr>
        <w:pBdr/>
        <w:spacing/>
        <w:ind/>
        <w:rPr/>
      </w:pPr>
      <w:r>
        <w:t xml:space="preserve">Local SQLite history supports investigation and reproducibility.</w:t>
      </w:r>
      <w:r/>
    </w:p>
    <w:p>
      <w:pPr>
        <w:pStyle w:val="922"/>
        <w:numPr>
          <w:ilvl w:val="0"/>
          <w:numId w:val="1"/>
        </w:numPr>
        <w:pBdr/>
        <w:spacing/>
        <w:ind/>
        <w:rPr/>
      </w:pPr>
      <w:r>
        <w:t xml:space="preserve">Privacy and governance controls are required before production deployment.</w:t>
      </w:r>
      <w:r/>
    </w:p>
    <w:p>
      <w:pPr>
        <w:pStyle w:val="856"/>
        <w:pBdr/>
        <w:spacing/>
        <w:ind/>
        <w:rPr/>
      </w:pPr>
      <w:r/>
      <w:bookmarkEnd w:id="52"/>
      <w:r/>
      <w:bookmarkEnd w:id="56"/>
      <w:r/>
      <w:r/>
    </w:p>
    <w:p>
      <w:pPr>
        <w:pStyle w:val="858"/>
        <w:pBdr/>
        <w:spacing/>
        <w:ind/>
        <w:rPr/>
      </w:pPr>
      <w:r/>
      <w:bookmarkStart w:id="57" w:name="__RefHeading___Toc2421_2076133143"/>
      <w:r/>
      <w:bookmarkStart w:id="58" w:name="future-recommendations"/>
      <w:r/>
      <w:bookmarkEnd w:id="57"/>
      <w:r>
        <w:t xml:space="preserve">Future Recommendations</w:t>
      </w:r>
      <w:r/>
    </w:p>
    <w:p>
      <w:pPr>
        <w:pStyle w:val="922"/>
        <w:numPr>
          <w:ilvl w:val="0"/>
          <w:numId w:val="90"/>
        </w:numPr>
        <w:pBdr/>
        <w:spacing/>
        <w:ind/>
        <w:rPr/>
      </w:pPr>
      <w:r>
        <w:t xml:space="preserve">Introduce context-aware classification using lightweight ML/NLP to reduce false positives.</w:t>
      </w:r>
      <w:r/>
    </w:p>
    <w:p>
      <w:pPr>
        <w:pStyle w:val="922"/>
        <w:numPr>
          <w:ilvl w:val="0"/>
          <w:numId w:val="1"/>
        </w:numPr>
        <w:pBdr/>
        <w:spacing/>
        <w:ind/>
        <w:rPr/>
      </w:pPr>
      <w:r>
        <w:t xml:space="preserve">Add policy modes: monitor-only, alert-only, auto-clear, and strict-protect.</w:t>
      </w:r>
      <w:r/>
    </w:p>
    <w:p>
      <w:pPr>
        <w:pStyle w:val="922"/>
        <w:numPr>
          <w:ilvl w:val="0"/>
          <w:numId w:val="1"/>
        </w:numPr>
        <w:pBdr/>
        <w:spacing/>
        <w:ind/>
        <w:rPr/>
      </w:pPr>
      <w:r>
        <w:t xml:space="preserve">Implement secure storage features (at-rest encryption, hashed payload options, retention controls).</w:t>
      </w:r>
      <w:r/>
    </w:p>
    <w:p>
      <w:pPr>
        <w:pStyle w:val="922"/>
        <w:numPr>
          <w:ilvl w:val="0"/>
          <w:numId w:val="1"/>
        </w:numPr>
        <w:pBdr/>
        <w:spacing/>
        <w:ind/>
        <w:rPr/>
      </w:pPr>
      <w:r>
        <w:t xml:space="preserve">Add enterprise integration (SIEM forwarding, incident webhooks, role-based administration).</w:t>
      </w:r>
      <w:r/>
    </w:p>
    <w:p>
      <w:pPr>
        <w:pStyle w:val="922"/>
        <w:numPr>
          <w:ilvl w:val="0"/>
          <w:numId w:val="1"/>
        </w:numPr>
        <w:pBdr/>
        <w:spacing/>
        <w:ind/>
        <w:rPr/>
      </w:pPr>
      <w:r>
        <w:t xml:space="preserve">Expand platform-specific capture reliability beyond polling where available.</w:t>
      </w:r>
      <w:r/>
    </w:p>
    <w:p>
      <w:pPr>
        <w:pStyle w:val="922"/>
        <w:numPr>
          <w:ilvl w:val="0"/>
          <w:numId w:val="1"/>
        </w:numPr>
        <w:pBdr/>
        <w:spacing/>
        <w:ind/>
        <w:rPr/>
      </w:pPr>
      <w:r>
        <w:t xml:space="preserve">Include continuous benchmarking datasets for detection quality (precision/recall/F1).</w:t>
      </w:r>
      <w:r/>
    </w:p>
    <w:p>
      <w:pPr>
        <w:pStyle w:val="922"/>
        <w:numPr>
          <w:ilvl w:val="0"/>
          <w:numId w:val="1"/>
        </w:numPr>
        <w:pBdr/>
        <w:spacing/>
        <w:ind/>
        <w:rPr/>
      </w:pPr>
      <w:r>
        <w:t xml:space="preserve">Add user behavior analytics to measure risk reduction over time.</w:t>
      </w:r>
      <w:r/>
    </w:p>
    <w:p>
      <w:pPr>
        <w:pStyle w:val="856"/>
        <w:pBdr/>
        <w:spacing/>
        <w:ind/>
        <w:rPr/>
      </w:pPr>
      <w:r/>
      <w:bookmarkEnd w:id="58"/>
      <w:r/>
      <w:r/>
    </w:p>
    <w:p>
      <w:pPr>
        <w:pStyle w:val="858"/>
        <w:pBdr/>
        <w:spacing/>
        <w:ind/>
        <w:rPr/>
      </w:pPr>
      <w:r/>
      <w:bookmarkStart w:id="59" w:name="__RefHeading___Toc2423_2076133143"/>
      <w:r/>
      <w:bookmarkStart w:id="60" w:name="discussion-and-conclusions"/>
      <w:r/>
      <w:bookmarkEnd w:id="59"/>
      <w:r>
        <w:t xml:space="preserve">Discussion and Conclusions</w:t>
      </w:r>
      <w:r/>
    </w:p>
    <w:p>
      <w:pPr>
        <w:pStyle w:val="859"/>
        <w:pBdr/>
        <w:spacing/>
        <w:ind/>
        <w:rPr/>
      </w:pPr>
      <w:r/>
      <w:bookmarkStart w:id="61" w:name="__RefHeading___Toc2425_2076133143"/>
      <w:r/>
      <w:bookmarkStart w:id="62" w:name="interpretation-of-findings"/>
      <w:r/>
      <w:bookmarkEnd w:id="61"/>
      <w:r>
        <w:t xml:space="preserve">Interpretation of Findings</w:t>
      </w:r>
      <w:r/>
    </w:p>
    <w:p>
      <w:pPr>
        <w:pStyle w:val="921"/>
        <w:pBdr/>
        <w:spacing/>
        <w:ind/>
        <w:rPr/>
      </w:pPr>
      <w:r>
        <w:t xml:space="preserve">The prototype demon</w:t>
      </w:r>
      <w:r>
        <w:t xml:space="preserve">strates that clipboard-focused endpoint security is feasible with low-cost tooling and straightforward architecture. Detection quality is acceptable for a baseline implementation and can be improved incrementally through richer rules and contextual models.</w:t>
      </w:r>
      <w:bookmarkEnd w:id="62"/>
      <w:r/>
      <w:r/>
    </w:p>
    <w:p>
      <w:pPr>
        <w:pStyle w:val="859"/>
        <w:pBdr/>
        <w:spacing/>
        <w:ind/>
        <w:rPr/>
      </w:pPr>
      <w:r/>
      <w:bookmarkStart w:id="63" w:name="__RefHeading___Toc2427_2076133143"/>
      <w:r/>
      <w:bookmarkStart w:id="64" w:name="implications-for-cyber-security"/>
      <w:r/>
      <w:bookmarkEnd w:id="63"/>
      <w:r>
        <w:t xml:space="preserve">Implications for Cyber Security</w:t>
      </w:r>
      <w:r/>
    </w:p>
    <w:p>
      <w:pPr>
        <w:pStyle w:val="921"/>
        <w:pBdr/>
        <w:spacing/>
        <w:ind/>
        <w:rPr/>
      </w:pPr>
      <w:r>
        <w:t xml:space="preserve">The work reinforces that clipboard telemetry should be treated as an explicit attack surface. Endpoint controls that monitor and classify clipboard events can reduce risk from credential leaks, token mishandling, and address-swapping fraud.</w:t>
      </w:r>
      <w:bookmarkEnd w:id="64"/>
      <w:r/>
      <w:r/>
    </w:p>
    <w:p>
      <w:pPr>
        <w:pStyle w:val="859"/>
        <w:pBdr/>
        <w:spacing/>
        <w:ind/>
        <w:rPr/>
      </w:pPr>
      <w:r/>
      <w:bookmarkStart w:id="65" w:name="__RefHeading___Toc2429_2076133143"/>
      <w:r/>
      <w:bookmarkStart w:id="66" w:name="contributions-to-the-field"/>
      <w:r/>
      <w:bookmarkEnd w:id="65"/>
      <w:r>
        <w:t xml:space="preserve">Contributions to the Field</w:t>
      </w:r>
      <w:r/>
    </w:p>
    <w:p>
      <w:pPr>
        <w:pStyle w:val="922"/>
        <w:numPr>
          <w:ilvl w:val="0"/>
          <w:numId w:val="2"/>
        </w:numPr>
        <w:pBdr/>
        <w:spacing/>
        <w:ind/>
        <w:rPr/>
      </w:pPr>
      <w:r>
        <w:t xml:space="preserve">Practical demonstration of clipboard DLP design for academic cybersecurity context.</w:t>
      </w:r>
      <w:r/>
    </w:p>
    <w:p>
      <w:pPr>
        <w:pStyle w:val="922"/>
        <w:numPr>
          <w:ilvl w:val="0"/>
          <w:numId w:val="2"/>
        </w:numPr>
        <w:pBdr/>
        <w:spacing/>
        <w:ind/>
        <w:rPr/>
      </w:pPr>
      <w:r>
        <w:t xml:space="preserve">Reproducible module structure combining detection, logging, and user feedback.</w:t>
      </w:r>
      <w:r/>
    </w:p>
    <w:p>
      <w:pPr>
        <w:pStyle w:val="922"/>
        <w:numPr>
          <w:ilvl w:val="0"/>
          <w:numId w:val="2"/>
        </w:numPr>
        <w:pBdr/>
        <w:spacing/>
        <w:ind/>
        <w:rPr/>
      </w:pPr>
      <w:r>
        <w:t xml:space="preserve">Initial test evidence for functional correctness across core behaviors.</w:t>
      </w:r>
      <w:bookmarkEnd w:id="66"/>
      <w:r/>
      <w:r/>
    </w:p>
    <w:p>
      <w:pPr>
        <w:pStyle w:val="859"/>
        <w:pBdr/>
        <w:spacing/>
        <w:ind/>
        <w:rPr/>
      </w:pPr>
      <w:r/>
      <w:bookmarkStart w:id="67" w:name="__RefHeading___Toc2431_2076133143"/>
      <w:r/>
      <w:bookmarkStart w:id="68" w:name="limitations"/>
      <w:r/>
      <w:bookmarkEnd w:id="67"/>
      <w:r>
        <w:t xml:space="preserve">Limitations</w:t>
      </w:r>
      <w:r/>
    </w:p>
    <w:p>
      <w:pPr>
        <w:pStyle w:val="922"/>
        <w:numPr>
          <w:ilvl w:val="0"/>
          <w:numId w:val="2"/>
        </w:numPr>
        <w:pBdr/>
        <w:spacing/>
        <w:ind/>
        <w:rPr/>
      </w:pPr>
      <w:r>
        <w:t xml:space="preserve">Pattern-centric approach may misclassify complex content.</w:t>
      </w:r>
      <w:r/>
    </w:p>
    <w:p>
      <w:pPr>
        <w:pStyle w:val="922"/>
        <w:numPr>
          <w:ilvl w:val="0"/>
          <w:numId w:val="2"/>
        </w:numPr>
        <w:pBdr/>
        <w:spacing/>
        <w:ind/>
        <w:rPr/>
      </w:pPr>
      <w:r>
        <w:t xml:space="preserve">No large-scale real-user deployment evidence.</w:t>
      </w:r>
      <w:r/>
    </w:p>
    <w:p>
      <w:pPr>
        <w:pStyle w:val="922"/>
        <w:numPr>
          <w:ilvl w:val="0"/>
          <w:numId w:val="2"/>
        </w:numPr>
        <w:pBdr/>
        <w:spacing/>
        <w:ind/>
        <w:rPr/>
      </w:pPr>
      <w:r>
        <w:t xml:space="preserve">Local plaintext storage model raises privacy concerns unless hardened.</w:t>
      </w:r>
      <w:bookmarkEnd w:id="68"/>
      <w:r/>
      <w:r/>
    </w:p>
    <w:p>
      <w:pPr>
        <w:pStyle w:val="859"/>
        <w:pBdr/>
        <w:spacing/>
        <w:ind/>
        <w:rPr/>
      </w:pPr>
      <w:r/>
      <w:bookmarkStart w:id="69" w:name="__RefHeading___Toc2433_2076133143"/>
      <w:r/>
      <w:bookmarkStart w:id="70" w:name="conclusion"/>
      <w:r/>
      <w:bookmarkEnd w:id="69"/>
      <w:r>
        <w:t xml:space="preserve">Conclusion</w:t>
      </w:r>
      <w:r/>
    </w:p>
    <w:p>
      <w:pPr>
        <w:pStyle w:val="921"/>
        <w:pBdr/>
        <w:spacing/>
        <w:ind/>
        <w:rPr/>
      </w:pPr>
      <w:r>
        <w:t xml:space="preserve">This project provides a functional and test-validated clipb</w:t>
      </w:r>
      <w:r>
        <w:t xml:space="preserve">oard DLP prototype that addresses a relevant and often-overlooked data leakage channel. With stronger policy controls, privacy safeguards, and enterprise integration, the approach can evolve from proof-of-concept to a practical endpoint security component.</w:t>
      </w:r>
      <w:r/>
    </w:p>
    <w:p>
      <w:pPr>
        <w:pStyle w:val="856"/>
        <w:pBdr/>
        <w:spacing/>
        <w:ind/>
        <w:rPr/>
      </w:pPr>
      <w:r/>
      <w:bookmarkEnd w:id="60"/>
      <w:r/>
      <w:bookmarkEnd w:id="70"/>
      <w:r/>
      <w:r/>
    </w:p>
    <w:p>
      <w:pPr>
        <w:pStyle w:val="858"/>
        <w:pBdr/>
        <w:spacing/>
        <w:ind/>
        <w:rPr/>
      </w:pPr>
      <w:r/>
      <w:bookmarkStart w:id="71" w:name="__RefHeading___Toc2435_2076133143"/>
      <w:r/>
      <w:bookmarkStart w:id="72" w:name="references"/>
      <w:r/>
      <w:bookmarkEnd w:id="71"/>
      <w:r>
        <w:t xml:space="preserve">References</w:t>
      </w:r>
      <w:r/>
    </w:p>
    <w:p>
      <w:pPr>
        <w:pStyle w:val="922"/>
        <w:numPr>
          <w:ilvl w:val="0"/>
          <w:numId w:val="91"/>
        </w:numPr>
        <w:pBdr/>
        <w:spacing/>
        <w:ind/>
        <w:rPr/>
      </w:pPr>
      <w:r>
        <w:t xml:space="preserve">NIST. (2024). Cybersecurity Framework (CSF) 2.0.</w:t>
        <w:br/>
      </w:r>
      <w:r/>
    </w:p>
    <w:p>
      <w:pPr>
        <w:pStyle w:val="922"/>
        <w:numPr>
          <w:ilvl w:val="0"/>
          <w:numId w:val="1"/>
        </w:numPr>
        <w:pBdr/>
        <w:spacing/>
        <w:ind/>
        <w:rPr/>
      </w:pPr>
      <w:r>
        <w:t xml:space="preserve">NIST. (2020). SP 800-53 Rev. 5: Security and Privacy Controls for Information Systems and Organizations.</w:t>
        <w:br/>
      </w:r>
      <w:r/>
    </w:p>
    <w:p>
      <w:pPr>
        <w:pStyle w:val="922"/>
        <w:numPr>
          <w:ilvl w:val="0"/>
          <w:numId w:val="1"/>
        </w:numPr>
        <w:pBdr/>
        <w:spacing/>
        <w:ind/>
        <w:rPr/>
      </w:pPr>
      <w:r>
        <w:t xml:space="preserve">NIST. (2012). SP 800-30 Rev. 1: Guide for Conducting Risk Assessments.</w:t>
        <w:br/>
      </w:r>
      <w:r/>
    </w:p>
    <w:p>
      <w:pPr>
        <w:pStyle w:val="922"/>
        <w:numPr>
          <w:ilvl w:val="0"/>
          <w:numId w:val="1"/>
        </w:numPr>
        <w:pBdr/>
        <w:spacing/>
        <w:ind/>
        <w:rPr/>
      </w:pPr>
      <w:r>
        <w:t xml:space="preserve">NIST. (2011). SP 800-39: Managing Information Security Risk.</w:t>
        <w:br/>
      </w:r>
      <w:r/>
    </w:p>
    <w:p>
      <w:pPr>
        <w:pStyle w:val="922"/>
        <w:numPr>
          <w:ilvl w:val="0"/>
          <w:numId w:val="1"/>
        </w:numPr>
        <w:pBdr/>
        <w:spacing/>
        <w:ind/>
        <w:rPr/>
      </w:pPr>
      <w:r>
        <w:t xml:space="preserve">ISO/IEC. (2022). ISO/IEC 27001: Information security management systems.</w:t>
        <w:br/>
      </w:r>
      <w:r/>
    </w:p>
    <w:p>
      <w:pPr>
        <w:pStyle w:val="922"/>
        <w:numPr>
          <w:ilvl w:val="0"/>
          <w:numId w:val="1"/>
        </w:numPr>
        <w:pBdr/>
        <w:spacing/>
        <w:ind/>
        <w:rPr/>
      </w:pPr>
      <w:r>
        <w:t xml:space="preserve">ISO/IEC. (2022). ISO/IEC 27002: Information security controls.</w:t>
        <w:br/>
      </w:r>
      <w:r/>
    </w:p>
    <w:p>
      <w:pPr>
        <w:pStyle w:val="922"/>
        <w:numPr>
          <w:ilvl w:val="0"/>
          <w:numId w:val="1"/>
        </w:numPr>
        <w:pBdr/>
        <w:spacing/>
        <w:ind/>
        <w:rPr/>
      </w:pPr>
      <w:r>
        <w:t xml:space="preserve">ISO/IEC. (2018). ISO/IEC 27005: Information security risk management.</w:t>
        <w:br/>
      </w:r>
      <w:r/>
    </w:p>
    <w:p>
      <w:pPr>
        <w:pStyle w:val="922"/>
        <w:numPr>
          <w:ilvl w:val="0"/>
          <w:numId w:val="1"/>
        </w:numPr>
        <w:pBdr/>
        <w:spacing/>
        <w:ind/>
        <w:rPr/>
      </w:pPr>
      <w:r>
        <w:t xml:space="preserve">ENISA. (2023). Threat Landscape Report.</w:t>
        <w:br/>
      </w:r>
      <w:r/>
    </w:p>
    <w:p>
      <w:pPr>
        <w:pStyle w:val="922"/>
        <w:numPr>
          <w:ilvl w:val="0"/>
          <w:numId w:val="1"/>
        </w:numPr>
        <w:pBdr/>
        <w:spacing/>
        <w:ind/>
        <w:rPr/>
      </w:pPr>
      <w:r>
        <w:t xml:space="preserve">CISA. (2023). #StopRansomware and security best practices guidance.</w:t>
        <w:br/>
      </w:r>
      <w:r/>
    </w:p>
    <w:p>
      <w:pPr>
        <w:pStyle w:val="922"/>
        <w:numPr>
          <w:ilvl w:val="0"/>
          <w:numId w:val="1"/>
        </w:numPr>
        <w:pBdr/>
        <w:spacing/>
        <w:ind/>
        <w:rPr/>
      </w:pPr>
      <w:r>
        <w:t xml:space="preserve">OWASP. (2021). OWASP Top 10 Web Application Security Risks.</w:t>
        <w:br/>
      </w:r>
      <w:r/>
    </w:p>
    <w:p>
      <w:pPr>
        <w:pStyle w:val="922"/>
        <w:numPr>
          <w:ilvl w:val="0"/>
          <w:numId w:val="1"/>
        </w:numPr>
        <w:pBdr/>
        <w:spacing/>
        <w:ind/>
        <w:rPr/>
      </w:pPr>
      <w:r>
        <w:t xml:space="preserve">CIS. (2024). CIS Critical Security Controls v8.1.</w:t>
        <w:br/>
      </w:r>
      <w:r/>
    </w:p>
    <w:p>
      <w:pPr>
        <w:pStyle w:val="922"/>
        <w:numPr>
          <w:ilvl w:val="0"/>
          <w:numId w:val="1"/>
        </w:numPr>
        <w:pBdr/>
        <w:spacing/>
        <w:ind/>
        <w:rPr/>
      </w:pPr>
      <w:r>
        <w:t xml:space="preserve">European Union. (2016). General Data Protection Regulation (GDPR) 2016/679.</w:t>
        <w:br/>
      </w:r>
      <w:r/>
    </w:p>
    <w:p>
      <w:pPr>
        <w:pStyle w:val="922"/>
        <w:numPr>
          <w:ilvl w:val="0"/>
          <w:numId w:val="1"/>
        </w:numPr>
        <w:pBdr/>
        <w:spacing/>
        <w:ind/>
        <w:rPr/>
      </w:pPr>
      <w:r>
        <w:t xml:space="preserve">ICO. (2023). Guide to the UK GDPR.</w:t>
        <w:br/>
      </w:r>
      <w:r/>
    </w:p>
    <w:p>
      <w:pPr>
        <w:pStyle w:val="922"/>
        <w:numPr>
          <w:ilvl w:val="0"/>
          <w:numId w:val="1"/>
        </w:numPr>
        <w:pBdr/>
        <w:spacing/>
        <w:ind/>
        <w:rPr/>
      </w:pPr>
      <w:r>
        <w:t xml:space="preserve">PCI Security Standards Council. (2022). PCI DSS v4.0.</w:t>
        <w:br/>
      </w:r>
      <w:r/>
    </w:p>
    <w:p>
      <w:pPr>
        <w:pStyle w:val="922"/>
        <w:numPr>
          <w:ilvl w:val="0"/>
          <w:numId w:val="1"/>
        </w:numPr>
        <w:pBdr/>
        <w:spacing/>
        <w:ind/>
        <w:rPr/>
      </w:pPr>
      <w:r>
        <w:t xml:space="preserve">Health Insurance Portability and Accountability Act (HIPAA), 45 CFR Parts 160 and 164.</w:t>
        <w:br/>
      </w:r>
      <w:r/>
    </w:p>
    <w:p>
      <w:pPr>
        <w:pStyle w:val="922"/>
        <w:numPr>
          <w:ilvl w:val="0"/>
          <w:numId w:val="1"/>
        </w:numPr>
        <w:pBdr/>
        <w:spacing/>
        <w:ind/>
        <w:rPr/>
      </w:pPr>
      <w:r>
        <w:t xml:space="preserve">MITRE. (2024). ATT&amp;CK Framework.</w:t>
        <w:br/>
      </w:r>
      <w:r/>
    </w:p>
    <w:p>
      <w:pPr>
        <w:pStyle w:val="922"/>
        <w:numPr>
          <w:ilvl w:val="0"/>
          <w:numId w:val="1"/>
        </w:numPr>
        <w:pBdr/>
        <w:spacing/>
        <w:ind/>
        <w:rPr/>
      </w:pPr>
      <w:r>
        <w:t xml:space="preserve">MITRE. (2024). CAPEC: Common Attack Pattern Enumeration and Classification.</w:t>
        <w:br/>
      </w:r>
      <w:r/>
    </w:p>
    <w:p>
      <w:pPr>
        <w:pStyle w:val="922"/>
        <w:numPr>
          <w:ilvl w:val="0"/>
          <w:numId w:val="1"/>
        </w:numPr>
        <w:pBdr/>
        <w:spacing/>
        <w:ind/>
        <w:rPr/>
      </w:pPr>
      <w:r>
        <w:t xml:space="preserve">Axelsson, S. (2000). The base-rate fallacy and intrusion detection. ACM TISSEC.</w:t>
        <w:br/>
      </w:r>
      <w:r/>
    </w:p>
    <w:p>
      <w:pPr>
        <w:pStyle w:val="922"/>
        <w:numPr>
          <w:ilvl w:val="0"/>
          <w:numId w:val="1"/>
        </w:numPr>
        <w:pBdr/>
        <w:spacing/>
        <w:ind/>
        <w:rPr/>
      </w:pPr>
      <w:r>
        <w:t xml:space="preserve">Sommer, R., &amp; Paxson, V. (2010). Outside the closed world: On using ML for network intrusion detection. IEEE S&amp;P.</w:t>
        <w:br/>
      </w:r>
      <w:r/>
    </w:p>
    <w:p>
      <w:pPr>
        <w:pStyle w:val="922"/>
        <w:numPr>
          <w:ilvl w:val="0"/>
          <w:numId w:val="1"/>
        </w:numPr>
        <w:pBdr/>
        <w:spacing/>
        <w:ind/>
        <w:rPr/>
      </w:pPr>
      <w:r>
        <w:t xml:space="preserve">Scarfone, K., &amp; Mell, P. (2007). Guide to intrusion detection and prevention systems. NIST SP 800-94.</w:t>
        <w:br/>
      </w:r>
      <w:r/>
    </w:p>
    <w:p>
      <w:pPr>
        <w:pStyle w:val="922"/>
        <w:numPr>
          <w:ilvl w:val="0"/>
          <w:numId w:val="1"/>
        </w:numPr>
        <w:pBdr/>
        <w:spacing/>
        <w:ind/>
        <w:rPr/>
      </w:pPr>
      <w:r>
        <w:t xml:space="preserve">Stallings, W. (2018). Effective Cybersecurity: A Guide to Using Best Practices and Standards. Addison-Wesley.</w:t>
        <w:br/>
      </w:r>
      <w:r/>
    </w:p>
    <w:p>
      <w:pPr>
        <w:pStyle w:val="922"/>
        <w:numPr>
          <w:ilvl w:val="0"/>
          <w:numId w:val="1"/>
        </w:numPr>
        <w:pBdr/>
        <w:spacing/>
        <w:ind/>
        <w:rPr/>
      </w:pPr>
      <w:r>
        <w:t xml:space="preserve">Anderson, R. (2020). Security Engineering (3rd ed.). Wiley.</w:t>
        <w:br/>
      </w:r>
      <w:r/>
    </w:p>
    <w:p>
      <w:pPr>
        <w:pStyle w:val="922"/>
        <w:numPr>
          <w:ilvl w:val="0"/>
          <w:numId w:val="1"/>
        </w:numPr>
        <w:pBdr/>
        <w:spacing/>
        <w:ind/>
        <w:rPr/>
      </w:pPr>
      <w:r>
        <w:t xml:space="preserve">Bishop, M. (2018). Computer Security: Art and Science (2nd ed.). Addison-Wesley.</w:t>
        <w:br/>
      </w:r>
      <w:r/>
    </w:p>
    <w:p>
      <w:pPr>
        <w:pStyle w:val="922"/>
        <w:numPr>
          <w:ilvl w:val="0"/>
          <w:numId w:val="1"/>
        </w:numPr>
        <w:pBdr/>
        <w:spacing/>
        <w:ind/>
        <w:rPr/>
      </w:pPr>
      <w:r>
        <w:t xml:space="preserve">Pfleeger, C., Pfleeger, S., &amp; Margulies, J. (2015). Security in Computing (5th ed.). Pearson.</w:t>
        <w:br/>
      </w:r>
      <w:r/>
    </w:p>
    <w:p>
      <w:pPr>
        <w:pStyle w:val="922"/>
        <w:numPr>
          <w:ilvl w:val="0"/>
          <w:numId w:val="1"/>
        </w:numPr>
        <w:pBdr/>
        <w:spacing/>
        <w:ind/>
        <w:rPr/>
      </w:pPr>
      <w:r>
        <w:t xml:space="preserve">Garfinkel, S., &amp; Spafford, G. (2002). Web Security, Privacy &amp; Commerce (2nd ed.). O’Reilly.</w:t>
        <w:br/>
      </w:r>
      <w:r/>
    </w:p>
    <w:p>
      <w:pPr>
        <w:pStyle w:val="922"/>
        <w:numPr>
          <w:ilvl w:val="0"/>
          <w:numId w:val="1"/>
        </w:numPr>
        <w:pBdr/>
        <w:spacing/>
        <w:ind/>
        <w:rPr/>
      </w:pPr>
      <w:r>
        <w:t xml:space="preserve">Shostack, A. (2014). Threat Modeling: Designing for Security. Wiley.</w:t>
        <w:br/>
      </w:r>
      <w:r/>
    </w:p>
    <w:p>
      <w:pPr>
        <w:pStyle w:val="922"/>
        <w:numPr>
          <w:ilvl w:val="0"/>
          <w:numId w:val="1"/>
        </w:numPr>
        <w:pBdr/>
        <w:spacing/>
        <w:ind/>
        <w:rPr/>
      </w:pPr>
      <w:r>
        <w:t xml:space="preserve">NIST. (2018). SP 800-61 Rev. 2: Computer Security Incident Handling Guide.</w:t>
        <w:br/>
      </w:r>
      <w:r/>
    </w:p>
    <w:p>
      <w:pPr>
        <w:pStyle w:val="922"/>
        <w:numPr>
          <w:ilvl w:val="0"/>
          <w:numId w:val="1"/>
        </w:numPr>
        <w:pBdr/>
        <w:spacing/>
        <w:ind/>
        <w:rPr/>
      </w:pPr>
      <w:r>
        <w:t xml:space="preserve">NIST. (2018). SP 800-171 Rev. 2: Protecting Controlled Unclassified Information.</w:t>
        <w:br/>
      </w:r>
      <w:r/>
    </w:p>
    <w:p>
      <w:pPr>
        <w:pStyle w:val="922"/>
        <w:numPr>
          <w:ilvl w:val="0"/>
          <w:numId w:val="1"/>
        </w:numPr>
        <w:pBdr/>
        <w:spacing/>
        <w:ind/>
        <w:rPr/>
      </w:pPr>
      <w:r>
        <w:t xml:space="preserve">Mozilla. (2024). Security guidelines and recommendations.</w:t>
        <w:br/>
      </w:r>
      <w:r/>
    </w:p>
    <w:p>
      <w:pPr>
        <w:pStyle w:val="922"/>
        <w:numPr>
          <w:ilvl w:val="0"/>
          <w:numId w:val="1"/>
        </w:numPr>
        <w:pBdr/>
        <w:spacing/>
        <w:ind/>
        <w:rPr/>
      </w:pPr>
      <w:r>
        <w:t xml:space="preserve">Python Software Foundation. (2026). Python 3 Documentation.</w:t>
        <w:br/>
      </w:r>
      <w:r/>
    </w:p>
    <w:p>
      <w:pPr>
        <w:pStyle w:val="922"/>
        <w:numPr>
          <w:ilvl w:val="0"/>
          <w:numId w:val="1"/>
        </w:numPr>
        <w:pBdr/>
        <w:spacing/>
        <w:ind/>
        <w:rPr/>
      </w:pPr>
      <w:r>
        <w:t xml:space="preserve">Python Docs. (2026). sqlite3 module documentation.</w:t>
        <w:br/>
      </w:r>
      <w:r/>
    </w:p>
    <w:p>
      <w:pPr>
        <w:pStyle w:val="922"/>
        <w:numPr>
          <w:ilvl w:val="0"/>
          <w:numId w:val="1"/>
        </w:numPr>
        <w:pBdr/>
        <w:spacing/>
        <w:ind/>
        <w:rPr/>
      </w:pPr>
      <w:r>
        <w:t xml:space="preserve">Python Docs. (2026). re module documentation.</w:t>
        <w:br/>
      </w:r>
      <w:r/>
    </w:p>
    <w:p>
      <w:pPr>
        <w:pStyle w:val="922"/>
        <w:numPr>
          <w:ilvl w:val="0"/>
          <w:numId w:val="1"/>
        </w:numPr>
        <w:pBdr/>
        <w:spacing/>
        <w:ind/>
        <w:rPr/>
      </w:pPr>
      <w:r>
        <w:t xml:space="preserve">Python Docs. (2026). threading module documentation.</w:t>
        <w:br/>
      </w:r>
      <w:r/>
    </w:p>
    <w:p>
      <w:pPr>
        <w:pStyle w:val="922"/>
        <w:numPr>
          <w:ilvl w:val="0"/>
          <w:numId w:val="1"/>
        </w:numPr>
        <w:pBdr/>
        <w:spacing/>
        <w:ind/>
        <w:rPr/>
      </w:pPr>
      <w:r>
        <w:t xml:space="preserve">Python Docs. (2026). tkinter documentation.</w:t>
        <w:br/>
      </w:r>
      <w:r/>
    </w:p>
    <w:p>
      <w:pPr>
        <w:pStyle w:val="922"/>
        <w:numPr>
          <w:ilvl w:val="0"/>
          <w:numId w:val="1"/>
        </w:numPr>
        <w:pBdr/>
        <w:spacing/>
        <w:ind/>
        <w:rPr/>
      </w:pPr>
      <w:r>
        <w:t xml:space="preserve">PyPI. (2026). pyperclip package documentation.</w:t>
        <w:br/>
      </w:r>
      <w:r/>
    </w:p>
    <w:p>
      <w:pPr>
        <w:pStyle w:val="922"/>
        <w:numPr>
          <w:ilvl w:val="0"/>
          <w:numId w:val="1"/>
        </w:numPr>
        <w:pBdr/>
        <w:spacing/>
        <w:ind/>
        <w:rPr/>
      </w:pPr>
      <w:r>
        <w:t xml:space="preserve">PyPI. (2026). pytest package documentation.</w:t>
        <w:br/>
      </w:r>
      <w:r/>
    </w:p>
    <w:p>
      <w:pPr>
        <w:pStyle w:val="922"/>
        <w:numPr>
          <w:ilvl w:val="0"/>
          <w:numId w:val="1"/>
        </w:numPr>
        <w:pBdr/>
        <w:spacing/>
        <w:ind/>
        <w:rPr/>
      </w:pPr>
      <w:r>
        <w:t xml:space="preserve">PyPI. (2026). yara-python package documentation.</w:t>
        <w:br/>
      </w:r>
      <w:r/>
    </w:p>
    <w:p>
      <w:pPr>
        <w:pStyle w:val="922"/>
        <w:numPr>
          <w:ilvl w:val="0"/>
          <w:numId w:val="1"/>
        </w:numPr>
        <w:pBdr/>
        <w:spacing/>
        <w:ind/>
        <w:rPr/>
      </w:pPr>
      <w:r>
        <w:t xml:space="preserve">YARA. (2024). YARA Documentation and Rule Writing Guide.</w:t>
        <w:br/>
      </w:r>
      <w:r/>
    </w:p>
    <w:p>
      <w:pPr>
        <w:pStyle w:val="922"/>
        <w:numPr>
          <w:ilvl w:val="0"/>
          <w:numId w:val="1"/>
        </w:numPr>
        <w:pBdr/>
        <w:spacing/>
        <w:ind/>
        <w:rPr/>
      </w:pPr>
      <w:r>
        <w:t xml:space="preserve">SQLite Consortium. (2026). SQLite Documentation.</w:t>
        <w:br/>
      </w:r>
      <w:r/>
    </w:p>
    <w:p>
      <w:pPr>
        <w:pStyle w:val="922"/>
        <w:numPr>
          <w:ilvl w:val="0"/>
          <w:numId w:val="1"/>
        </w:numPr>
        <w:pBdr/>
        <w:spacing/>
        <w:ind/>
        <w:rPr/>
      </w:pPr>
      <w:r>
        <w:t xml:space="preserve">Microsoft. (2024). Secure Development Lifecycle practices.</w:t>
        <w:br/>
      </w:r>
      <w:r/>
    </w:p>
    <w:p>
      <w:pPr>
        <w:pStyle w:val="922"/>
        <w:numPr>
          <w:ilvl w:val="0"/>
          <w:numId w:val="1"/>
        </w:numPr>
        <w:pBdr/>
        <w:spacing/>
        <w:ind/>
        <w:rPr/>
      </w:pPr>
      <w:r>
        <w:t xml:space="preserve">Google. (2024). Secure AI Framework and secure coding recommendations.</w:t>
        <w:br/>
      </w:r>
      <w:r/>
    </w:p>
    <w:p>
      <w:pPr>
        <w:pStyle w:val="922"/>
        <w:numPr>
          <w:ilvl w:val="0"/>
          <w:numId w:val="1"/>
        </w:numPr>
        <w:pBdr/>
        <w:spacing/>
        <w:ind/>
        <w:rPr/>
      </w:pPr>
      <w:r>
        <w:t xml:space="preserve">OWASP. (2021). ASVS: Application Security Verification Standard.</w:t>
        <w:br/>
      </w:r>
      <w:r/>
    </w:p>
    <w:p>
      <w:pPr>
        <w:pStyle w:val="922"/>
        <w:numPr>
          <w:ilvl w:val="0"/>
          <w:numId w:val="1"/>
        </w:numPr>
        <w:pBdr/>
        <w:spacing/>
        <w:ind/>
        <w:rPr/>
      </w:pPr>
      <w:r>
        <w:t xml:space="preserve">FIRST. (2024). CVSS v4.0 Specification Document.</w:t>
        <w:br/>
      </w:r>
      <w:r/>
    </w:p>
    <w:p>
      <w:pPr>
        <w:pStyle w:val="922"/>
        <w:numPr>
          <w:ilvl w:val="0"/>
          <w:numId w:val="1"/>
        </w:numPr>
        <w:pBdr/>
        <w:spacing/>
        <w:ind/>
        <w:rPr/>
      </w:pPr>
      <w:r>
        <w:t xml:space="preserve">RFC 7519. (2015). JSON Web Token (JWT). IETF.</w:t>
        <w:br/>
      </w:r>
      <w:r/>
    </w:p>
    <w:p>
      <w:pPr>
        <w:pStyle w:val="922"/>
        <w:numPr>
          <w:ilvl w:val="0"/>
          <w:numId w:val="1"/>
        </w:numPr>
        <w:pBdr/>
        <w:spacing/>
        <w:ind/>
        <w:rPr/>
      </w:pPr>
      <w:r>
        <w:t xml:space="preserve">RFC 4226. (2005). HOTP: An HMAC-Based One-Time Password Algorithm. IETF.</w:t>
        <w:br/>
      </w:r>
      <w:r/>
    </w:p>
    <w:p>
      <w:pPr>
        <w:pStyle w:val="922"/>
        <w:numPr>
          <w:ilvl w:val="0"/>
          <w:numId w:val="1"/>
        </w:numPr>
        <w:pBdr/>
        <w:spacing/>
        <w:ind/>
        <w:rPr/>
      </w:pPr>
      <w:r>
        <w:t xml:space="preserve">RFC 6238. (2011). TOTP: Time-Based One-Time Password Algorithm. IETF.</w:t>
        <w:br/>
      </w:r>
      <w:r/>
    </w:p>
    <w:p>
      <w:pPr>
        <w:pStyle w:val="922"/>
        <w:numPr>
          <w:ilvl w:val="0"/>
          <w:numId w:val="1"/>
        </w:numPr>
        <w:pBdr/>
        <w:spacing/>
        <w:ind/>
        <w:rPr/>
      </w:pPr>
      <w:r>
        <w:t xml:space="preserve">Verizon. (2024). Data Breach Investigations Report (DBIR).</w:t>
        <w:br/>
      </w:r>
      <w:r/>
    </w:p>
    <w:p>
      <w:pPr>
        <w:pStyle w:val="922"/>
        <w:numPr>
          <w:ilvl w:val="0"/>
          <w:numId w:val="1"/>
        </w:numPr>
        <w:pBdr/>
        <w:spacing/>
        <w:ind/>
        <w:rPr/>
      </w:pPr>
      <w:r>
        <w:t xml:space="preserve">IBM Security. (2024). Cost of a Data Breach Report.</w:t>
        <w:br/>
      </w:r>
      <w:r/>
    </w:p>
    <w:p>
      <w:pPr>
        <w:pStyle w:val="922"/>
        <w:numPr>
          <w:ilvl w:val="0"/>
          <w:numId w:val="1"/>
        </w:numPr>
        <w:pBdr/>
        <w:spacing/>
        <w:ind/>
        <w:rPr/>
      </w:pPr>
      <w:r>
        <w:t xml:space="preserve">SANS Institute. (2024). Security awareness and human factors resources.</w:t>
        <w:br/>
      </w:r>
      <w:r/>
    </w:p>
    <w:p>
      <w:pPr>
        <w:pStyle w:val="922"/>
        <w:numPr>
          <w:ilvl w:val="0"/>
          <w:numId w:val="1"/>
        </w:numPr>
        <w:pBdr/>
        <w:spacing/>
        <w:ind/>
        <w:rPr/>
      </w:pPr>
      <w:r>
        <w:t xml:space="preserve">US-CERT/CISA archives. (2024). Malware and indicator advisories.</w:t>
        <w:br/>
      </w:r>
      <w:r/>
    </w:p>
    <w:p>
      <w:pPr>
        <w:pStyle w:val="922"/>
        <w:numPr>
          <w:ilvl w:val="0"/>
          <w:numId w:val="1"/>
        </w:numPr>
        <w:pBdr/>
        <w:spacing/>
        <w:ind/>
        <w:rPr/>
      </w:pPr>
      <w:r>
        <w:t xml:space="preserve">Trend Micro. (2024). Research on cryptocurrency clipboard hijacking malware.</w:t>
        <w:br/>
      </w:r>
      <w:r/>
    </w:p>
    <w:p>
      <w:pPr>
        <w:pStyle w:val="922"/>
        <w:numPr>
          <w:ilvl w:val="0"/>
          <w:numId w:val="1"/>
        </w:numPr>
        <w:pBdr/>
        <w:spacing/>
        <w:ind/>
        <w:rPr/>
      </w:pPr>
      <w:r>
        <w:t xml:space="preserve">Kaspersky. (2024). Threat reports on clipboard malware campaigns.</w:t>
        <w:br/>
      </w:r>
      <w:r/>
    </w:p>
    <w:p>
      <w:pPr>
        <w:pStyle w:val="922"/>
        <w:numPr>
          <w:ilvl w:val="0"/>
          <w:numId w:val="1"/>
        </w:numPr>
        <w:pBdr/>
        <w:spacing/>
        <w:ind/>
        <w:rPr/>
      </w:pPr>
      <w:r>
        <w:t xml:space="preserve">Microsoft Security. (2024). Defender threat intelligence reports.</w:t>
        <w:br/>
      </w:r>
      <w:r/>
    </w:p>
    <w:p>
      <w:pPr>
        <w:pStyle w:val="922"/>
        <w:numPr>
          <w:ilvl w:val="0"/>
          <w:numId w:val="1"/>
        </w:numPr>
        <w:pBdr/>
        <w:spacing/>
        <w:ind/>
        <w:rPr/>
      </w:pPr>
      <w:r>
        <w:t xml:space="preserve">Palo Alto Unit 42. (2024). Threat intelligence reports and malware analyses.</w:t>
        <w:br/>
      </w:r>
      <w:r/>
    </w:p>
    <w:p>
      <w:pPr>
        <w:pStyle w:val="922"/>
        <w:numPr>
          <w:ilvl w:val="0"/>
          <w:numId w:val="1"/>
        </w:numPr>
        <w:pBdr/>
        <w:spacing/>
        <w:ind/>
        <w:rPr/>
      </w:pPr>
      <w:r>
        <w:t xml:space="preserve">CrowdStrike. (2024). Global threat report.</w:t>
      </w:r>
      <w:r/>
    </w:p>
    <w:p w14:paraId="473D9A30">
      <w:pPr>
        <w:pBdr/>
        <w:shd w:val="nil"/>
        <w:spacing/>
        <w:ind/>
        <w:rPr/>
      </w:pPr>
      <w:r>
        <w:br w:type="page" w:clear="all"/>
      </w:r>
      <w:r/>
      <w:r/>
    </w:p>
    <w:p>
      <w:pPr>
        <w:pStyle w:val="858"/>
        <w:pBdr/>
        <w:spacing/>
        <w:ind/>
        <w:rPr/>
      </w:pPr>
      <w:r/>
      <w:bookmarkStart w:id="73" w:name="__RefHeading___Toc2437_2076133143"/>
      <w:r/>
      <w:bookmarkStart w:id="74" w:name="appendix"/>
      <w:r/>
      <w:bookmarkEnd w:id="73"/>
      <w:r>
        <w:t xml:space="preserve">Appendix</w:t>
      </w:r>
      <w:r/>
    </w:p>
    <w:p>
      <w:pPr>
        <w:pStyle w:val="859"/>
        <w:pBdr/>
        <w:spacing/>
        <w:ind/>
        <w:rPr/>
      </w:pPr>
      <w:r/>
      <w:bookmarkStart w:id="75" w:name="__RefHeading___Toc2439_2076133143"/>
      <w:r/>
      <w:bookmarkStart w:id="76" w:name="a.-technical-specifications"/>
      <w:r/>
      <w:bookmarkEnd w:id="75"/>
      <w:r>
        <w:t xml:space="preserve">A. Technical Specifications</w:t>
      </w:r>
      <w:r/>
    </w:p>
    <w:p>
      <w:pPr>
        <w:pStyle w:val="921"/>
        <w:pBdr/>
        <w:spacing/>
        <w:ind/>
        <w:rPr/>
      </w:pPr>
      <w:r>
        <w:t xml:space="preserve">Hardware (development/test baseline):</w:t>
      </w:r>
      <w:r/>
    </w:p>
    <w:p>
      <w:pPr>
        <w:pStyle w:val="922"/>
        <w:numPr>
          <w:ilvl w:val="0"/>
          <w:numId w:val="2"/>
        </w:numPr>
        <w:pBdr/>
        <w:spacing/>
        <w:ind/>
        <w:rPr/>
      </w:pPr>
      <w:r>
        <w:t xml:space="preserve">CPU: 4-core x86_64 or better</w:t>
      </w:r>
      <w:r/>
    </w:p>
    <w:p>
      <w:pPr>
        <w:pStyle w:val="922"/>
        <w:numPr>
          <w:ilvl w:val="0"/>
          <w:numId w:val="2"/>
        </w:numPr>
        <w:pBdr/>
        <w:spacing/>
        <w:ind/>
        <w:rPr/>
      </w:pPr>
      <w:r>
        <w:t xml:space="preserve">RAM: 8 GB minimum</w:t>
      </w:r>
      <w:r/>
    </w:p>
    <w:p>
      <w:pPr>
        <w:pStyle w:val="922"/>
        <w:numPr>
          <w:ilvl w:val="0"/>
          <w:numId w:val="2"/>
        </w:numPr>
        <w:pBdr/>
        <w:spacing/>
        <w:ind/>
        <w:rPr/>
      </w:pPr>
      <w:r>
        <w:t xml:space="preserve">Storage: 2 GB free space for environment, logs, and reports</w:t>
      </w:r>
      <w:r/>
    </w:p>
    <w:p>
      <w:pPr>
        <w:pStyle w:val="921"/>
        <w:pBdr/>
        <w:spacing/>
        <w:ind/>
        <w:rPr/>
      </w:pPr>
      <w:r>
        <w:t xml:space="preserve">Software:</w:t>
      </w:r>
      <w:r/>
    </w:p>
    <w:p>
      <w:pPr>
        <w:pStyle w:val="922"/>
        <w:numPr>
          <w:ilvl w:val="0"/>
          <w:numId w:val="2"/>
        </w:numPr>
        <w:pBdr/>
        <w:spacing/>
        <w:ind/>
        <w:rPr/>
      </w:pPr>
      <w:r>
        <w:t xml:space="preserve">OS: Linux (tested), Windows (design support)</w:t>
      </w:r>
      <w:r/>
    </w:p>
    <w:p>
      <w:pPr>
        <w:pStyle w:val="922"/>
        <w:numPr>
          <w:ilvl w:val="0"/>
          <w:numId w:val="2"/>
        </w:numPr>
        <w:pBdr/>
        <w:spacing/>
        <w:ind/>
        <w:rPr/>
      </w:pPr>
      <w:r>
        <w:t xml:space="preserve">Language: Python 3.10+</w:t>
      </w:r>
      <w:r/>
    </w:p>
    <w:p>
      <w:pPr>
        <w:pStyle w:val="922"/>
        <w:numPr>
          <w:ilvl w:val="0"/>
          <w:numId w:val="2"/>
        </w:numPr>
        <w:pBdr/>
        <w:spacing/>
        <w:ind/>
        <w:rPr/>
      </w:pPr>
      <w:r>
        <w:t xml:space="preserve">Key packages: pyperclip, pytest, tkinter, sqlite3, optional yara-python</w:t>
      </w:r>
      <w:bookmarkEnd w:id="76"/>
      <w:r/>
      <w:r/>
    </w:p>
    <w:p>
      <w:pPr>
        <w:pStyle w:val="859"/>
        <w:pBdr/>
        <w:spacing/>
        <w:ind/>
        <w:rPr/>
      </w:pPr>
      <w:r/>
      <w:bookmarkStart w:id="77" w:name="__RefHeading___Toc2441_2076133143"/>
      <w:r/>
      <w:bookmarkStart w:id="78" w:name="b.-code-snippets-representative"/>
      <w:r/>
      <w:bookmarkEnd w:id="77"/>
      <w:r>
        <w:t xml:space="preserve">B. Code Snippets (Representative)</w:t>
      </w:r>
      <w:r/>
    </w:p>
    <w:p>
      <w:pPr>
        <w:pStyle w:val="922"/>
        <w:numPr>
          <w:ilvl w:val="0"/>
          <w:numId w:val="92"/>
        </w:numPr>
        <w:pBdr/>
        <w:spacing/>
        <w:ind/>
        <w:rPr/>
      </w:pPr>
      <w:r>
        <w:t xml:space="preserve">Pattern detection entry point (analyzer-style):</w:t>
      </w:r>
      <w:r/>
    </w:p>
    <w:p>
      <w:pPr>
        <w:pStyle w:val="922"/>
        <w:numPr>
          <w:ilvl w:val="0"/>
          <w:numId w:val="2"/>
        </w:numPr>
        <w:pBdr/>
        <w:spacing/>
        <w:ind/>
        <w:rPr/>
      </w:pPr>
      <w:r>
        <w:t xml:space="preserve">Match sensitive patterns.</w:t>
      </w:r>
      <w:r/>
    </w:p>
    <w:p>
      <w:pPr>
        <w:pStyle w:val="922"/>
        <w:numPr>
          <w:ilvl w:val="0"/>
          <w:numId w:val="2"/>
        </w:numPr>
        <w:pBdr/>
        <w:spacing/>
        <w:ind/>
        <w:rPr/>
      </w:pPr>
      <w:r>
        <w:t xml:space="preserve">Calculate entropy.</w:t>
      </w:r>
      <w:r/>
    </w:p>
    <w:p>
      <w:pPr>
        <w:pStyle w:val="922"/>
        <w:numPr>
          <w:ilvl w:val="0"/>
          <w:numId w:val="2"/>
        </w:numPr>
        <w:pBdr/>
        <w:spacing/>
        <w:ind/>
        <w:rPr/>
      </w:pPr>
      <w:r>
        <w:t xml:space="preserve">Assign risk tier.</w:t>
      </w:r>
      <w:r/>
    </w:p>
    <w:p>
      <w:pPr>
        <w:pStyle w:val="922"/>
        <w:numPr>
          <w:ilvl w:val="0"/>
          <w:numId w:val="93"/>
        </w:numPr>
        <w:pBdr/>
        <w:spacing/>
        <w:ind/>
        <w:rPr/>
      </w:pPr>
      <w:r>
        <w:t xml:space="preserve">Monitor flow:</w:t>
      </w:r>
      <w:r/>
    </w:p>
    <w:p>
      <w:pPr>
        <w:pStyle w:val="922"/>
        <w:numPr>
          <w:ilvl w:val="0"/>
          <w:numId w:val="2"/>
        </w:numPr>
        <w:pBdr/>
        <w:spacing/>
        <w:ind/>
        <w:rPr/>
      </w:pPr>
      <w:r>
        <w:t xml:space="preserve">Poll clipboard.</w:t>
      </w:r>
      <w:r/>
    </w:p>
    <w:p>
      <w:pPr>
        <w:pStyle w:val="922"/>
        <w:numPr>
          <w:ilvl w:val="0"/>
          <w:numId w:val="2"/>
        </w:numPr>
        <w:pBdr/>
        <w:spacing/>
        <w:ind/>
        <w:rPr/>
      </w:pPr>
      <w:r>
        <w:t xml:space="preserve">Normalize and deduplicate.</w:t>
      </w:r>
      <w:r/>
    </w:p>
    <w:p>
      <w:pPr>
        <w:pStyle w:val="922"/>
        <w:numPr>
          <w:ilvl w:val="0"/>
          <w:numId w:val="2"/>
        </w:numPr>
        <w:pBdr/>
        <w:spacing/>
        <w:ind/>
        <w:rPr/>
      </w:pPr>
      <w:r>
        <w:t xml:space="preserve">Detect sensitive content.</w:t>
      </w:r>
      <w:r/>
    </w:p>
    <w:p>
      <w:pPr>
        <w:pStyle w:val="922"/>
        <w:numPr>
          <w:ilvl w:val="0"/>
          <w:numId w:val="2"/>
        </w:numPr>
        <w:pBdr/>
        <w:spacing/>
        <w:ind/>
        <w:rPr/>
      </w:pPr>
      <w:r>
        <w:t xml:space="preserve">Save to DB and push to UI queue.</w:t>
      </w:r>
      <w:r/>
    </w:p>
    <w:p>
      <w:pPr>
        <w:pStyle w:val="922"/>
        <w:numPr>
          <w:ilvl w:val="0"/>
          <w:numId w:val="94"/>
        </w:numPr>
        <w:pBdr/>
        <w:spacing/>
        <w:ind/>
        <w:rPr/>
      </w:pPr>
      <w:r>
        <w:t xml:space="preserve">Storage model:</w:t>
      </w:r>
      <w:r/>
    </w:p>
    <w:p>
      <w:pPr>
        <w:pStyle w:val="922"/>
        <w:numPr>
          <w:ilvl w:val="0"/>
          <w:numId w:val="2"/>
        </w:numPr>
        <w:pBdr/>
        <w:spacing/>
        <w:ind/>
        <w:rPr/>
      </w:pPr>
      <w:r>
        <w:t xml:space="preserve">SQLite table history(id, timestamp, content, source).</w:t>
      </w:r>
      <w:bookmarkEnd w:id="78"/>
      <w:r/>
      <w:r/>
    </w:p>
    <w:p>
      <w:pPr>
        <w:pStyle w:val="859"/>
        <w:pBdr/>
        <w:spacing/>
        <w:ind/>
        <w:rPr/>
      </w:pPr>
      <w:r/>
      <w:bookmarkStart w:id="79" w:name="__RefHeading___Toc2443_2076133143"/>
      <w:r/>
      <w:bookmarkStart w:id="80" w:name="c.-swot-analysis"/>
      <w:r/>
      <w:bookmarkEnd w:id="79"/>
      <w:r>
        <w:t xml:space="preserve">C. SWOT Analysis</w:t>
      </w:r>
      <w:r/>
    </w:p>
    <w:p>
      <w:pPr>
        <w:pStyle w:val="921"/>
        <w:pBdr/>
        <w:spacing/>
        <w:ind/>
        <w:rPr/>
      </w:pPr>
      <w:r>
        <w:t xml:space="preserve">Strengths:</w:t>
      </w:r>
      <w:r/>
    </w:p>
    <w:p>
      <w:pPr>
        <w:pStyle w:val="922"/>
        <w:numPr>
          <w:ilvl w:val="0"/>
          <w:numId w:val="2"/>
        </w:numPr>
        <w:pBdr/>
        <w:spacing/>
        <w:ind/>
        <w:rPr/>
      </w:pPr>
      <w:r>
        <w:t xml:space="preserve">Focused control over a neglected attack vector.</w:t>
      </w:r>
      <w:r/>
    </w:p>
    <w:p>
      <w:pPr>
        <w:pStyle w:val="922"/>
        <w:numPr>
          <w:ilvl w:val="0"/>
          <w:numId w:val="2"/>
        </w:numPr>
        <w:pBdr/>
        <w:spacing/>
        <w:ind/>
        <w:rPr/>
      </w:pPr>
      <w:r>
        <w:t xml:space="preserve">Low-cost and modular implementation.</w:t>
      </w:r>
      <w:r/>
    </w:p>
    <w:p>
      <w:pPr>
        <w:pStyle w:val="922"/>
        <w:numPr>
          <w:ilvl w:val="0"/>
          <w:numId w:val="2"/>
        </w:numPr>
        <w:pBdr/>
        <w:spacing/>
        <w:ind/>
        <w:rPr/>
      </w:pPr>
      <w:r>
        <w:t xml:space="preserve">Test-backed baseline functionality.</w:t>
      </w:r>
      <w:r/>
    </w:p>
    <w:p>
      <w:pPr>
        <w:pStyle w:val="921"/>
        <w:pBdr/>
        <w:spacing/>
        <w:ind/>
        <w:rPr/>
      </w:pPr>
      <w:r>
        <w:t xml:space="preserve">Weaknesses:</w:t>
      </w:r>
      <w:r/>
    </w:p>
    <w:p>
      <w:pPr>
        <w:pStyle w:val="922"/>
        <w:numPr>
          <w:ilvl w:val="0"/>
          <w:numId w:val="2"/>
        </w:numPr>
        <w:pBdr/>
        <w:spacing/>
        <w:ind/>
        <w:rPr/>
      </w:pPr>
      <w:r>
        <w:t xml:space="preserve">Rule-based detection limitations.</w:t>
      </w:r>
      <w:r/>
    </w:p>
    <w:p>
      <w:pPr>
        <w:pStyle w:val="922"/>
        <w:numPr>
          <w:ilvl w:val="0"/>
          <w:numId w:val="2"/>
        </w:numPr>
        <w:pBdr/>
        <w:spacing/>
        <w:ind/>
        <w:rPr/>
      </w:pPr>
      <w:r>
        <w:t xml:space="preserve">Privacy concerns for raw clipboard storage.</w:t>
      </w:r>
      <w:r/>
    </w:p>
    <w:p>
      <w:pPr>
        <w:pStyle w:val="922"/>
        <w:numPr>
          <w:ilvl w:val="0"/>
          <w:numId w:val="2"/>
        </w:numPr>
        <w:pBdr/>
        <w:spacing/>
        <w:ind/>
        <w:rPr/>
      </w:pPr>
      <w:r>
        <w:t xml:space="preserve">Initial platform dependencies.</w:t>
      </w:r>
      <w:r/>
    </w:p>
    <w:p>
      <w:pPr>
        <w:pStyle w:val="921"/>
        <w:pBdr/>
        <w:spacing/>
        <w:ind/>
        <w:rPr/>
      </w:pPr>
      <w:r>
        <w:t xml:space="preserve">Opportunities:</w:t>
      </w:r>
      <w:r/>
    </w:p>
    <w:p>
      <w:pPr>
        <w:pStyle w:val="922"/>
        <w:numPr>
          <w:ilvl w:val="0"/>
          <w:numId w:val="2"/>
        </w:numPr>
        <w:pBdr/>
        <w:spacing/>
        <w:ind/>
        <w:rPr/>
      </w:pPr>
      <w:r>
        <w:t xml:space="preserve">Enterprise DLP integration.</w:t>
      </w:r>
      <w:r/>
    </w:p>
    <w:p>
      <w:pPr>
        <w:pStyle w:val="922"/>
        <w:numPr>
          <w:ilvl w:val="0"/>
          <w:numId w:val="2"/>
        </w:numPr>
        <w:pBdr/>
        <w:spacing/>
        <w:ind/>
        <w:rPr/>
      </w:pPr>
      <w:r>
        <w:t xml:space="preserve">Context-aware and ML-assisted classification.</w:t>
      </w:r>
      <w:r/>
    </w:p>
    <w:p>
      <w:pPr>
        <w:pStyle w:val="922"/>
        <w:numPr>
          <w:ilvl w:val="0"/>
          <w:numId w:val="2"/>
        </w:numPr>
        <w:pBdr/>
        <w:spacing/>
        <w:ind/>
        <w:rPr/>
      </w:pPr>
      <w:r>
        <w:t xml:space="preserve">Compliance-oriented policy templates.</w:t>
      </w:r>
      <w:r/>
    </w:p>
    <w:p>
      <w:pPr>
        <w:pStyle w:val="921"/>
        <w:pBdr/>
        <w:spacing/>
        <w:ind/>
        <w:rPr/>
      </w:pPr>
      <w:r>
        <w:t xml:space="preserve">Threats:</w:t>
      </w:r>
      <w:r/>
    </w:p>
    <w:p>
      <w:pPr>
        <w:pStyle w:val="922"/>
        <w:numPr>
          <w:ilvl w:val="0"/>
          <w:numId w:val="2"/>
        </w:numPr>
        <w:pBdr/>
        <w:spacing/>
        <w:ind/>
        <w:rPr/>
      </w:pPr>
      <w:r>
        <w:t xml:space="preserve">Evasive malware techniques.</w:t>
      </w:r>
      <w:r/>
    </w:p>
    <w:p>
      <w:pPr>
        <w:pStyle w:val="922"/>
        <w:numPr>
          <w:ilvl w:val="0"/>
          <w:numId w:val="2"/>
        </w:numPr>
        <w:pBdr/>
        <w:spacing/>
        <w:ind/>
        <w:rPr/>
      </w:pPr>
      <w:r>
        <w:t xml:space="preserve">User desensitization to alerts.</w:t>
      </w:r>
      <w:r/>
    </w:p>
    <w:p>
      <w:pPr>
        <w:pStyle w:val="922"/>
        <w:numPr>
          <w:ilvl w:val="0"/>
          <w:numId w:val="2"/>
        </w:numPr>
        <w:pBdr/>
        <w:spacing/>
        <w:ind/>
        <w:rPr/>
      </w:pPr>
      <w:r>
        <w:t xml:space="preserve">Regulatory non-compliance if retention is unmanaged.</w:t>
      </w:r>
      <w:bookmarkEnd w:id="80"/>
      <w:r/>
      <w:r/>
    </w:p>
    <w:p>
      <w:pPr>
        <w:pStyle w:val="859"/>
        <w:pBdr/>
        <w:spacing/>
        <w:ind/>
        <w:rPr/>
      </w:pPr>
      <w:r/>
      <w:bookmarkStart w:id="81" w:name="__RefHeading___Toc2445_2076133143"/>
      <w:r/>
      <w:bookmarkStart w:id="82" w:name="d.-glossary"/>
      <w:r/>
      <w:bookmarkEnd w:id="81"/>
      <w:r>
        <w:t xml:space="preserve">D. Glossary</w:t>
      </w:r>
      <w:r/>
    </w:p>
    <w:p>
      <w:pPr>
        <w:pStyle w:val="922"/>
        <w:numPr>
          <w:ilvl w:val="0"/>
          <w:numId w:val="2"/>
        </w:numPr>
        <w:pBdr/>
        <w:spacing/>
        <w:ind/>
        <w:rPr/>
      </w:pPr>
      <w:r>
        <w:t xml:space="preserve">DLP: Data Leakage Prevention.</w:t>
      </w:r>
      <w:r/>
    </w:p>
    <w:p>
      <w:pPr>
        <w:pStyle w:val="922"/>
        <w:numPr>
          <w:ilvl w:val="0"/>
          <w:numId w:val="2"/>
        </w:numPr>
        <w:pBdr/>
        <w:spacing/>
        <w:ind/>
        <w:rPr/>
      </w:pPr>
      <w:r>
        <w:t xml:space="preserve">Endpoint: User device where data is created/processed.</w:t>
      </w:r>
      <w:r/>
    </w:p>
    <w:p>
      <w:pPr>
        <w:pStyle w:val="922"/>
        <w:numPr>
          <w:ilvl w:val="0"/>
          <w:numId w:val="2"/>
        </w:numPr>
        <w:pBdr/>
        <w:spacing/>
        <w:ind/>
        <w:rPr/>
      </w:pPr>
      <w:r>
        <w:t xml:space="preserve">YARA: Rule-based pattern matching framework for malware/content identification.</w:t>
      </w:r>
      <w:r/>
    </w:p>
    <w:p>
      <w:pPr>
        <w:pStyle w:val="922"/>
        <w:numPr>
          <w:ilvl w:val="0"/>
          <w:numId w:val="2"/>
        </w:numPr>
        <w:pBdr/>
        <w:spacing/>
        <w:ind/>
        <w:rPr/>
      </w:pPr>
      <w:r>
        <w:t xml:space="preserve">Entropy: Statistical measure of randomness, useful for secret-like string detection.</w:t>
      </w:r>
      <w:r/>
    </w:p>
    <w:p>
      <w:pPr>
        <w:pStyle w:val="922"/>
        <w:numPr>
          <w:ilvl w:val="0"/>
          <w:numId w:val="2"/>
        </w:numPr>
        <w:pBdr/>
        <w:spacing/>
        <w:ind/>
        <w:rPr/>
      </w:pPr>
      <w:r>
        <w:t xml:space="preserve">SIEM: Security Information and Event Management.</w:t>
      </w:r>
      <w:r/>
    </w:p>
    <w:p>
      <w:pPr>
        <w:pStyle w:val="922"/>
        <w:numPr>
          <w:ilvl w:val="0"/>
          <w:numId w:val="2"/>
        </w:numPr>
        <w:pBdr/>
        <w:spacing/>
        <w:ind/>
        <w:rPr/>
      </w:pPr>
      <w:r>
        <w:t xml:space="preserve">SOC: Security Operations Center.</w:t>
      </w:r>
      <w:r/>
    </w:p>
    <w:p>
      <w:pPr>
        <w:pStyle w:val="922"/>
        <w:numPr>
          <w:ilvl w:val="0"/>
          <w:numId w:val="2"/>
        </w:numPr>
        <w:pBdr/>
        <w:spacing/>
        <w:ind/>
        <w:rPr/>
      </w:pPr>
      <w:r>
        <w:t xml:space="preserve">IOC: Indicator of Compromise.</w:t>
      </w:r>
      <w:bookmarkEnd w:id="82"/>
      <w:r/>
      <w:r/>
    </w:p>
    <w:p>
      <w:pPr>
        <w:pStyle w:val="859"/>
        <w:pBdr/>
        <w:spacing/>
        <w:ind/>
        <w:rPr/>
      </w:pPr>
      <w:r/>
      <w:bookmarkStart w:id="83" w:name="__RefHeading___Toc2447_2076133143"/>
      <w:r/>
      <w:bookmarkStart w:id="84" w:name="e.-other-supporting-information"/>
      <w:r/>
      <w:bookmarkEnd w:id="83"/>
      <w:r>
        <w:t xml:space="preserve">E. Other Supporting Information</w:t>
      </w:r>
      <w:r/>
    </w:p>
    <w:p>
      <w:pPr>
        <w:pStyle w:val="921"/>
        <w:pBdr/>
        <w:spacing/>
        <w:ind/>
        <w:rPr/>
      </w:pPr>
      <w:r>
        <w:t xml:space="preserve">Roles and responsibilities:</w:t>
      </w:r>
      <w:r/>
    </w:p>
    <w:p>
      <w:pPr>
        <w:pStyle w:val="922"/>
        <w:numPr>
          <w:ilvl w:val="0"/>
          <w:numId w:val="2"/>
        </w:numPr>
        <w:pBdr/>
        <w:spacing/>
        <w:ind/>
        <w:rPr/>
      </w:pPr>
      <w:r>
        <w:t xml:space="preserve">Project Lead/Researcher: design, implementation, analysis, report writing.</w:t>
      </w:r>
      <w:r/>
    </w:p>
    <w:p>
      <w:pPr>
        <w:pStyle w:val="922"/>
        <w:numPr>
          <w:ilvl w:val="0"/>
          <w:numId w:val="2"/>
        </w:numPr>
        <w:pBdr/>
        <w:spacing/>
        <w:ind/>
        <w:rPr/>
      </w:pPr>
      <w:r>
        <w:t xml:space="preserve">Supervisor: academic guidance, review, and milestone feedback.</w:t>
      </w:r>
      <w:r/>
    </w:p>
    <w:p>
      <w:pPr>
        <w:pStyle w:val="922"/>
        <w:numPr>
          <w:ilvl w:val="0"/>
          <w:numId w:val="2"/>
        </w:numPr>
        <w:pBdr/>
        <w:spacing/>
        <w:ind/>
        <w:rPr/>
      </w:pPr>
      <w:r>
        <w:t xml:space="preserve">Test Reviewer (peer): reproducibility checks and usability feedback.</w:t>
      </w:r>
      <w:r/>
    </w:p>
    <w:p>
      <w:pPr>
        <w:pStyle w:val="921"/>
        <w:pBdr/>
        <w:spacing/>
        <w:ind/>
        <w:rPr/>
      </w:pPr>
      <w:r>
        <w:t xml:space="preserve">Budget and cost estimate (prototype):</w:t>
      </w:r>
      <w:r/>
    </w:p>
    <w:p>
      <w:pPr>
        <w:pStyle w:val="917"/>
        <w:pBdr/>
        <w:spacing/>
        <w:ind/>
        <w:rPr/>
      </w:pPr>
      <w:r>
        <w:t xml:space="preserve">Table 4. Budget estimate.</w:t>
      </w:r>
      <w:r/>
    </w:p>
    <w:tbl>
      <w:tblPr>
        <w:tblStyle w:val="947"/>
        <w:tblInd w:w="0" w:type="dxa"/>
        <w:tblW w:w="7920" w:type="dxa"/>
        <w:tblCellMar>
          <w:left w:w="108" w:type="dxa"/>
          <w:top w:w="0" w:type="dxa"/>
          <w:right w:w="108" w:type="dxa"/>
          <w:bottom w:w="0" w:type="dxa"/>
        </w:tblCellMar>
        <w:tblBorders/>
        <w:tblLayout w:type="fixed"/>
        <w:tblLook w:val="0020" w:firstRow="1" w:lastRow="0" w:firstColumn="0" w:lastColumn="0" w:noHBand="0" w:noVBand="0"/>
      </w:tblPr>
      <w:tblGrid>
        <w:gridCol w:w="3960"/>
        <w:gridCol w:w="3960"/>
      </w:tblGrid>
      <w:tr>
        <w:trPr>
          <w:tblHeader/>
        </w:trPr>
        <w:tc>
          <w:tcPr>
            <w:tcBorders>
              <w:bottom w:val="single" w:color="000000" w:sz="6" w:space="0"/>
            </w:tcBorders>
            <w:tcW w:w="3960" w:type="dxa"/>
            <w:vAlign w:val="bottom"/>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Item</w:t>
            </w:r>
            <w:r>
              <w:rPr>
                <w:rFonts w:ascii="Aptos" w:hAnsi="Aptos"/>
                <w:sz w:val="24"/>
                <w:szCs w:val="24"/>
                <w:lang w:val="en-US" w:eastAsia="zh-CN" w:bidi="ar-SA"/>
              </w:rPr>
            </w:r>
          </w:p>
        </w:tc>
        <w:tc>
          <w:tcPr>
            <w:tcBorders>
              <w:bottom w:val="single" w:color="000000" w:sz="6" w:space="0"/>
            </w:tcBorders>
            <w:tcW w:w="3960" w:type="dxa"/>
            <w:vAlign w:val="bottom"/>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Cost (GBP)</w:t>
            </w:r>
            <w:r>
              <w:rPr>
                <w:rFonts w:ascii="Aptos" w:hAnsi="Aptos"/>
                <w:sz w:val="24"/>
                <w:szCs w:val="24"/>
                <w:lang w:val="en-US" w:eastAsia="zh-CN" w:bidi="ar-SA"/>
              </w:rPr>
            </w:r>
          </w:p>
        </w:tc>
      </w:tr>
      <w:tr>
        <w:trPr/>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Development hardware and utilities</w:t>
            </w:r>
            <w:r>
              <w:rPr>
                <w:rFonts w:ascii="Aptos" w:hAnsi="Aptos"/>
                <w:sz w:val="24"/>
                <w:szCs w:val="24"/>
                <w:lang w:val="en-US" w:eastAsia="zh-CN" w:bidi="ar-SA"/>
              </w:rPr>
            </w:r>
          </w:p>
        </w:tc>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0 (existing resources)</w:t>
            </w:r>
            <w:r>
              <w:rPr>
                <w:rFonts w:ascii="Aptos" w:hAnsi="Aptos"/>
                <w:sz w:val="24"/>
                <w:szCs w:val="24"/>
                <w:lang w:val="en-US" w:eastAsia="zh-CN" w:bidi="ar-SA"/>
              </w:rPr>
            </w:r>
          </w:p>
        </w:tc>
      </w:tr>
      <w:tr>
        <w:trPr/>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Software tools and libraries</w:t>
            </w:r>
            <w:r>
              <w:rPr>
                <w:rFonts w:ascii="Aptos" w:hAnsi="Aptos"/>
                <w:sz w:val="24"/>
                <w:szCs w:val="24"/>
                <w:lang w:val="en-US" w:eastAsia="zh-CN" w:bidi="ar-SA"/>
              </w:rPr>
            </w:r>
          </w:p>
        </w:tc>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0 (open source)</w:t>
            </w:r>
            <w:r>
              <w:rPr>
                <w:rFonts w:ascii="Aptos" w:hAnsi="Aptos"/>
                <w:sz w:val="24"/>
                <w:szCs w:val="24"/>
                <w:lang w:val="en-US" w:eastAsia="zh-CN" w:bidi="ar-SA"/>
              </w:rPr>
            </w:r>
          </w:p>
        </w:tc>
      </w:tr>
      <w:tr>
        <w:trPr/>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Documentation and submission overhead</w:t>
            </w:r>
            <w:r>
              <w:rPr>
                <w:rFonts w:ascii="Aptos" w:hAnsi="Aptos"/>
                <w:sz w:val="24"/>
                <w:szCs w:val="24"/>
                <w:lang w:val="en-US" w:eastAsia="zh-CN" w:bidi="ar-SA"/>
              </w:rPr>
            </w:r>
          </w:p>
        </w:tc>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20</w:t>
            </w:r>
            <w:r>
              <w:rPr>
                <w:rFonts w:ascii="Aptos" w:hAnsi="Aptos"/>
                <w:sz w:val="24"/>
                <w:szCs w:val="24"/>
                <w:lang w:val="en-US" w:eastAsia="zh-CN" w:bidi="ar-SA"/>
              </w:rPr>
            </w:r>
          </w:p>
        </w:tc>
      </w:tr>
      <w:tr>
        <w:trPr/>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Contingency (10%)</w:t>
            </w:r>
            <w:r>
              <w:rPr>
                <w:rFonts w:ascii="Aptos" w:hAnsi="Aptos"/>
                <w:sz w:val="24"/>
                <w:szCs w:val="24"/>
                <w:lang w:val="en-US" w:eastAsia="zh-CN" w:bidi="ar-SA"/>
              </w:rPr>
            </w:r>
          </w:p>
        </w:tc>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2</w:t>
            </w:r>
            <w:r>
              <w:rPr>
                <w:rFonts w:ascii="Aptos" w:hAnsi="Aptos"/>
                <w:sz w:val="24"/>
                <w:szCs w:val="24"/>
                <w:lang w:val="en-US" w:eastAsia="zh-CN" w:bidi="ar-SA"/>
              </w:rPr>
            </w:r>
          </w:p>
        </w:tc>
      </w:tr>
      <w:tr>
        <w:trPr/>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Total</w:t>
            </w:r>
            <w:r>
              <w:rPr>
                <w:rFonts w:ascii="Aptos" w:hAnsi="Aptos"/>
                <w:sz w:val="24"/>
                <w:szCs w:val="24"/>
                <w:lang w:val="en-US" w:eastAsia="zh-CN" w:bidi="ar-SA"/>
              </w:rPr>
            </w:r>
          </w:p>
        </w:tc>
        <w:tc>
          <w:tcPr>
            <w:tcBorders/>
            <w:tcW w:w="3960" w:type="dxa"/>
            <w:textDirection w:val="lrTb"/>
            <w:noWrap w:val="false"/>
          </w:tcPr>
          <w:p>
            <w:pPr>
              <w:pStyle w:val="922"/>
              <w:widowControl w:val="true"/>
              <w:pBdr/>
              <w:spacing w:after="36" w:before="36"/>
              <w:ind/>
              <w:jc w:val="left"/>
              <w:rPr>
                <w:rFonts w:ascii="Aptos" w:hAnsi="Aptos"/>
                <w:sz w:val="24"/>
                <w:szCs w:val="24"/>
                <w:lang w:val="en-US" w:eastAsia="zh-CN" w:bidi="ar-SA"/>
              </w:rPr>
            </w:pPr>
            <w:r>
              <w:rPr>
                <w:sz w:val="24"/>
                <w:szCs w:val="24"/>
                <w:lang w:val="en-US" w:eastAsia="zh-CN" w:bidi="ar-SA"/>
              </w:rPr>
              <w:t xml:space="preserve">22</w:t>
            </w:r>
            <w:r>
              <w:rPr>
                <w:rFonts w:ascii="Aptos" w:hAnsi="Aptos"/>
                <w:sz w:val="24"/>
                <w:szCs w:val="24"/>
                <w:lang w:val="en-US" w:eastAsia="zh-CN" w:bidi="ar-SA"/>
              </w:rPr>
            </w:r>
          </w:p>
        </w:tc>
      </w:tr>
    </w:tbl>
    <w:p>
      <w:pPr>
        <w:pStyle w:val="917"/>
        <w:pBdr/>
        <w:spacing/>
        <w:ind/>
        <w:rPr/>
      </w:pPr>
      <w:r>
        <w:t xml:space="preserve">Success criteria and impact measurement:</w:t>
      </w:r>
      <w:r/>
    </w:p>
    <w:p>
      <w:pPr>
        <w:pStyle w:val="922"/>
        <w:numPr>
          <w:ilvl w:val="0"/>
          <w:numId w:val="95"/>
        </w:numPr>
        <w:pBdr/>
        <w:spacing/>
        <w:ind/>
        <w:rPr/>
      </w:pPr>
      <w:r>
        <w:t xml:space="preserve">Functional correctness: all critical tests pass.</w:t>
      </w:r>
      <w:r/>
    </w:p>
    <w:p>
      <w:pPr>
        <w:pStyle w:val="922"/>
        <w:numPr>
          <w:ilvl w:val="0"/>
          <w:numId w:val="1"/>
        </w:numPr>
        <w:pBdr/>
        <w:spacing/>
        <w:ind/>
        <w:rPr/>
      </w:pPr>
      <w:r>
        <w:t xml:space="preserve">Detection coverage: representative sensitive patterns identified.</w:t>
      </w:r>
      <w:r/>
    </w:p>
    <w:p>
      <w:pPr>
        <w:pStyle w:val="922"/>
        <w:numPr>
          <w:ilvl w:val="0"/>
          <w:numId w:val="1"/>
        </w:numPr>
        <w:pBdr/>
        <w:spacing/>
        <w:ind/>
        <w:rPr/>
      </w:pPr>
      <w:r>
        <w:t xml:space="preserve">Usability: users can view, search, and export events.</w:t>
      </w:r>
      <w:r/>
    </w:p>
    <w:p>
      <w:pPr>
        <w:pStyle w:val="922"/>
        <w:numPr>
          <w:ilvl w:val="0"/>
          <w:numId w:val="1"/>
        </w:numPr>
        <w:pBdr/>
        <w:spacing/>
        <w:ind/>
        <w:rPr/>
      </w:pPr>
      <w:r>
        <w:t xml:space="preserve">Security value: reduced risk of unnoticed clipboard exposure in defined scenarios.</w:t>
      </w:r>
      <w:r/>
    </w:p>
    <w:p>
      <w:pPr>
        <w:pStyle w:val="922"/>
        <w:numPr>
          <w:ilvl w:val="0"/>
          <w:numId w:val="1"/>
        </w:numPr>
        <w:pBdr/>
        <w:spacing/>
        <w:ind/>
        <w:rPr/>
      </w:pPr>
      <w:r>
        <w:t xml:space="preserve">Documentation quality: complete coverage of methodology, compliance, and evidence.</w:t>
      </w:r>
      <w:bookmarkEnd w:id="84"/>
      <w:r/>
      <w:r/>
    </w:p>
    <w:p>
      <w:pPr>
        <w:pStyle w:val="859"/>
        <w:pBdr/>
        <w:spacing/>
        <w:ind/>
        <w:rPr/>
      </w:pPr>
      <w:r/>
      <w:bookmarkStart w:id="85" w:name="__RefHeading___Toc2449_2076133143"/>
      <w:r/>
      <w:bookmarkStart w:id="86" w:name="X373d5befdb3c9b863faa56ad55f4ac7ac46e70d"/>
      <w:r/>
      <w:bookmarkEnd w:id="85"/>
      <w:r>
        <w:t xml:space="preserve">F. Extended Threat Model and Adversary Analysis</w:t>
      </w:r>
      <w:r/>
    </w:p>
    <w:p>
      <w:pPr>
        <w:pStyle w:val="921"/>
        <w:pBdr/>
        <w:spacing/>
        <w:ind/>
        <w:rPr/>
      </w:pPr>
      <w:r>
        <w:t xml:space="preserve">This section extends the core threat model with a deeper adversary-centric analysis to demonstrate how clipboard DLP controls fit into practical cyber defense strategy. The</w:t>
      </w:r>
      <w:r>
        <w:t xml:space="preserve"> analysis uses attacker goals, attack paths, operational constraints, and defender observability as the main dimensions. The objective is to show that clipboard security is not an isolated feature but a meaningful node in the broader endpoint attack graph.</w:t>
      </w:r>
      <w:r/>
    </w:p>
    <w:p>
      <w:pPr>
        <w:pStyle w:val="860"/>
        <w:pBdr/>
        <w:spacing/>
        <w:ind/>
        <w:rPr/>
      </w:pPr>
      <w:r/>
      <w:bookmarkStart w:id="87" w:name="__RefHeading___Toc2451_2076133143"/>
      <w:r/>
      <w:bookmarkStart w:id="88" w:name="threat-landscape-context"/>
      <w:r/>
      <w:bookmarkEnd w:id="87"/>
      <w:r>
        <w:t xml:space="preserve">Threat landscape context</w:t>
      </w:r>
      <w:r/>
    </w:p>
    <w:p>
      <w:pPr>
        <w:pStyle w:val="921"/>
        <w:pBdr/>
        <w:spacing/>
        <w:ind/>
        <w:rPr/>
      </w:pPr>
      <w:r>
        <w:t xml:space="preserve">Clipboard abuse appears in several classes of campaigns. In </w:t>
      </w:r>
      <w:r>
        <w:t xml:space="preserve">financial theft scenarios, malware modifies copied wallet addresses or payment identifiers. In credential compromise scenarios, malware waits for copied passwords, one-time tokens, or session artifacts and forwards them to command-and-control infrastructur</w:t>
      </w:r>
      <w:r>
        <w:t xml:space="preserve">e. In insider misuse scenarios, sensitive records are copied from internal systems and pasted into unauthorized channels. In accidental loss scenarios, users unintentionally paste sensitive data into external chat systems, issue trackers, or browser forms.</w:t>
      </w:r>
      <w:r/>
    </w:p>
    <w:p>
      <w:pPr>
        <w:pStyle w:val="917"/>
        <w:pBdr/>
        <w:spacing/>
        <w:ind/>
        <w:rPr/>
      </w:pPr>
      <w:r>
        <w:t xml:space="preserve">Across these scenarios, the clipboard acts as a temporary transport channel between trusted and untrusted contexts. The security challenge is that the </w:t>
      </w:r>
      <w:r>
        <w:t xml:space="preserve">operating system provides high convenience and low friction, while users rarely treat copied content as security-critical data in motion. This mismatch between user mental model and actual risk makes clipboard telemetry valuable for detection and response.</w:t>
      </w:r>
      <w:bookmarkEnd w:id="88"/>
      <w:r/>
      <w:r/>
    </w:p>
    <w:p>
      <w:pPr>
        <w:pStyle w:val="860"/>
        <w:pBdr/>
        <w:spacing/>
        <w:ind/>
        <w:rPr/>
      </w:pPr>
      <w:r/>
      <w:bookmarkStart w:id="89" w:name="__RefHeading___Toc2453_2076133143"/>
      <w:r/>
      <w:bookmarkStart w:id="90" w:name="assets-and-security-objectives"/>
      <w:r/>
      <w:bookmarkEnd w:id="89"/>
      <w:r>
        <w:t xml:space="preserve">Assets and security objectives</w:t>
      </w:r>
      <w:r/>
    </w:p>
    <w:p>
      <w:pPr>
        <w:pStyle w:val="921"/>
        <w:pBdr/>
        <w:spacing/>
        <w:ind/>
        <w:rPr/>
      </w:pPr>
      <w:r>
        <w:t xml:space="preserve">Primary assets:</w:t>
      </w:r>
      <w:r/>
    </w:p>
    <w:p>
      <w:pPr>
        <w:pStyle w:val="922"/>
        <w:numPr>
          <w:ilvl w:val="0"/>
          <w:numId w:val="2"/>
        </w:numPr>
        <w:pBdr/>
        <w:spacing/>
        <w:ind/>
        <w:rPr/>
      </w:pPr>
      <w:r>
        <w:t xml:space="preserve">Authentication secrets such as passwords, OTP values, and reset tokens.</w:t>
      </w:r>
      <w:r/>
    </w:p>
    <w:p>
      <w:pPr>
        <w:pStyle w:val="922"/>
        <w:numPr>
          <w:ilvl w:val="0"/>
          <w:numId w:val="2"/>
        </w:numPr>
        <w:pBdr/>
        <w:spacing/>
        <w:ind/>
        <w:rPr/>
      </w:pPr>
      <w:r>
        <w:t xml:space="preserve">Authorization artifacts such as API keys and access credentials.</w:t>
      </w:r>
      <w:r/>
    </w:p>
    <w:p>
      <w:pPr>
        <w:pStyle w:val="922"/>
        <w:numPr>
          <w:ilvl w:val="0"/>
          <w:numId w:val="2"/>
        </w:numPr>
        <w:pBdr/>
        <w:spacing/>
        <w:ind/>
        <w:rPr/>
      </w:pPr>
      <w:r>
        <w:t xml:space="preserve">Financial identifiers such as payment card numbers and wallet addresses.</w:t>
      </w:r>
      <w:r/>
    </w:p>
    <w:p>
      <w:pPr>
        <w:pStyle w:val="922"/>
        <w:numPr>
          <w:ilvl w:val="0"/>
          <w:numId w:val="2"/>
        </w:numPr>
        <w:pBdr/>
        <w:spacing/>
        <w:ind/>
        <w:rPr/>
      </w:pPr>
      <w:r>
        <w:t xml:space="preserve">Personally identifiable information such as names, email addresses, phone numbers, and account identifiers.</w:t>
      </w:r>
      <w:r/>
    </w:p>
    <w:p>
      <w:pPr>
        <w:pStyle w:val="922"/>
        <w:numPr>
          <w:ilvl w:val="0"/>
          <w:numId w:val="2"/>
        </w:numPr>
        <w:pBdr/>
        <w:spacing/>
        <w:ind/>
        <w:rPr/>
      </w:pPr>
      <w:r>
        <w:t xml:space="preserve">Internal operational data such as private links, environment values, and infrastructure addresses.</w:t>
      </w:r>
      <w:r/>
    </w:p>
    <w:p>
      <w:pPr>
        <w:pStyle w:val="921"/>
        <w:pBdr/>
        <w:spacing/>
        <w:ind/>
        <w:rPr/>
      </w:pPr>
      <w:r>
        <w:t xml:space="preserve">Security objectives:</w:t>
      </w:r>
      <w:r/>
    </w:p>
    <w:p>
      <w:pPr>
        <w:pStyle w:val="922"/>
        <w:numPr>
          <w:ilvl w:val="0"/>
          <w:numId w:val="96"/>
        </w:numPr>
        <w:pBdr/>
        <w:spacing/>
        <w:ind/>
        <w:rPr/>
      </w:pPr>
      <w:r>
        <w:t xml:space="preserve">Confidentiality: reduce unauthorized disclosure during copy-paste workflows.</w:t>
      </w:r>
      <w:r/>
    </w:p>
    <w:p>
      <w:pPr>
        <w:pStyle w:val="922"/>
        <w:numPr>
          <w:ilvl w:val="0"/>
          <w:numId w:val="1"/>
        </w:numPr>
        <w:pBdr/>
        <w:spacing/>
        <w:ind/>
        <w:rPr/>
      </w:pPr>
      <w:r>
        <w:t xml:space="preserve">Integrity: detect or discourage malicious replacement of clipboard content.</w:t>
      </w:r>
      <w:r/>
    </w:p>
    <w:p>
      <w:pPr>
        <w:pStyle w:val="922"/>
        <w:numPr>
          <w:ilvl w:val="0"/>
          <w:numId w:val="1"/>
        </w:numPr>
        <w:pBdr/>
        <w:spacing/>
        <w:ind/>
        <w:rPr/>
      </w:pPr>
      <w:r>
        <w:t xml:space="preserve">Accountability: maintain auditable local records of detection events and decisions.</w:t>
      </w:r>
      <w:r/>
    </w:p>
    <w:p>
      <w:pPr>
        <w:pStyle w:val="922"/>
        <w:numPr>
          <w:ilvl w:val="0"/>
          <w:numId w:val="1"/>
        </w:numPr>
        <w:pBdr/>
        <w:spacing/>
        <w:ind/>
        <w:rPr/>
      </w:pPr>
      <w:r>
        <w:t xml:space="preserve">Availability: maintain low-overhead monitoring without degrading user productivity.</w:t>
      </w:r>
      <w:bookmarkEnd w:id="90"/>
      <w:r/>
      <w:r/>
    </w:p>
    <w:p>
      <w:pPr>
        <w:pStyle w:val="860"/>
        <w:pBdr/>
        <w:spacing/>
        <w:ind/>
        <w:rPr/>
      </w:pPr>
      <w:r/>
      <w:bookmarkStart w:id="91" w:name="__RefHeading___Toc2455_2076133143"/>
      <w:r/>
      <w:bookmarkStart w:id="92" w:name="adversary-profiles"/>
      <w:r/>
      <w:bookmarkEnd w:id="91"/>
      <w:r>
        <w:t xml:space="preserve">Adversary profiles</w:t>
      </w:r>
      <w:r/>
    </w:p>
    <w:p>
      <w:pPr>
        <w:pStyle w:val="921"/>
        <w:pBdr/>
        <w:spacing/>
        <w:ind/>
        <w:rPr/>
      </w:pPr>
      <w:r>
        <w:t xml:space="preserve">Profi</w:t>
      </w:r>
      <w:r>
        <w:t xml:space="preserve">le A: Opportunistic malware operator</w:t>
        <w:br/>
        <w:t xml:space="preserve">Motivation is financial gain. Capability is moderate. Typical technique is clipboard polling and content substitution. Targets include cryptocurrency users, freelancers, and small businesses with weak endpoint controls.</w:t>
      </w:r>
      <w:r/>
    </w:p>
    <w:p>
      <w:pPr>
        <w:pStyle w:val="917"/>
        <w:pBdr/>
        <w:spacing/>
        <w:ind/>
        <w:rPr/>
      </w:pPr>
      <w:r>
        <w:t xml:space="preserve">Profi</w:t>
      </w:r>
      <w:r>
        <w:t xml:space="preserve">le B: Credential harvester</w:t>
        <w:br/>
        <w:t xml:space="preserve">Motivation is access resale and lateral movement. Capability is moderate to high. Typical technique includes keylogging, clipboard scraping, and memory theft in combination. Targets include developer and administrative endpoints.</w:t>
      </w:r>
      <w:r/>
    </w:p>
    <w:p>
      <w:pPr>
        <w:pStyle w:val="917"/>
        <w:pBdr/>
        <w:spacing/>
        <w:ind/>
        <w:rPr/>
      </w:pPr>
      <w:r>
        <w:t xml:space="preserve">Profile C: Malicious insider</w:t>
        <w:br/>
        <w:t xml:space="preserve">Motivation may include fraud, retaliation, or data resale. Capability depends on system familiarity. Technique often relies on normal privileges and trusted interfaces rather than exploit-heavy methods.</w:t>
      </w:r>
      <w:r/>
    </w:p>
    <w:p>
      <w:pPr>
        <w:pStyle w:val="917"/>
        <w:pBdr/>
        <w:spacing/>
        <w:ind/>
        <w:rPr/>
      </w:pPr>
      <w:r>
        <w:t xml:space="preserve">Profile D: Negligent user under time pressure</w:t>
        <w:br/>
        <w:t xml:space="preserve">Not malicious but a high-frequency source of incidents. Mistakes include copying secrets into chat tools, external forms, and collaborative documents.</w:t>
      </w:r>
      <w:bookmarkEnd w:id="92"/>
      <w:r/>
      <w:r/>
    </w:p>
    <w:p>
      <w:pPr>
        <w:pStyle w:val="860"/>
        <w:pBdr/>
        <w:spacing/>
        <w:ind/>
        <w:rPr/>
      </w:pPr>
      <w:r/>
      <w:bookmarkStart w:id="93" w:name="__RefHeading___Toc2457_2076133143"/>
      <w:r/>
      <w:bookmarkStart w:id="94" w:name="attack-paths-and-abuse-cases"/>
      <w:r/>
      <w:bookmarkEnd w:id="93"/>
      <w:r>
        <w:t xml:space="preserve">Attack paths and abuse cases</w:t>
      </w:r>
      <w:r/>
    </w:p>
    <w:p>
      <w:pPr>
        <w:pStyle w:val="921"/>
        <w:pBdr/>
        <w:spacing/>
        <w:ind/>
        <w:rPr/>
      </w:pPr>
      <w:r>
        <w:t xml:space="preserve">Abuse Case 1: Wallet replacement attack</w:t>
        <w:br/>
        <w:t xml:space="preserve">Step 1: user copies destination wallet. S</w:t>
      </w:r>
      <w:r>
        <w:t xml:space="preserve">tep 2: malware intercepts and replaces clipboard value. Step 3: user pastes without verification. Step 4: transaction is irrecoverable. Defensive implication: monitor for high-risk wallet patterns, expose visible warnings, and provide verification prompts.</w:t>
      </w:r>
      <w:r/>
    </w:p>
    <w:p>
      <w:pPr>
        <w:pStyle w:val="917"/>
        <w:pBdr/>
        <w:spacing/>
        <w:ind/>
        <w:rPr/>
      </w:pPr>
      <w:r>
        <w:t xml:space="preserve">Abuse Case 2: API key exfiltration</w:t>
        <w:br/>
        <w:t xml:space="preserve">Step 1: developer copies key from internal system. Step</w:t>
      </w:r>
      <w:r>
        <w:t xml:space="preserve"> 2: key is copied again into unrelated app or terminal history. Step 3: key leaks through logs, screenshots, or synchronized clipboards. Defensive implication: classify key-like patterns quickly and introduce contextual warnings before cross-context paste.</w:t>
      </w:r>
      <w:r/>
    </w:p>
    <w:p>
      <w:pPr>
        <w:pStyle w:val="917"/>
        <w:pBdr/>
        <w:spacing/>
        <w:ind/>
        <w:rPr/>
      </w:pPr>
      <w:r>
        <w:t xml:space="preserve">Abuse Case 3: support desk data spill</w:t>
        <w:br/>
        <w:t xml:space="preserve">Step 1: user copie</w:t>
      </w:r>
      <w:r>
        <w:t xml:space="preserve">s customer data for troubleshooting. Step 2: sensitive fields are pasted into non-approved support channel. Step 3: data retention and legal risk emerge. Defensive implication: detect composite sensitivity, enforce minimization, and produce an audit trail.</w:t>
      </w:r>
      <w:r/>
    </w:p>
    <w:p>
      <w:pPr>
        <w:pStyle w:val="917"/>
        <w:pBdr/>
        <w:spacing/>
        <w:ind/>
        <w:rPr/>
      </w:pPr>
      <w:r>
        <w:t xml:space="preserve">Abuse Case 4: OTP relay compr</w:t>
      </w:r>
      <w:r>
        <w:t xml:space="preserve">omise</w:t>
        <w:br/>
        <w:t xml:space="preserve">Step 1: user receives OTP and copies it from message. Step 2: spyware captures OTP. Step 3: attacker replays OTP within validity window. Defensive implication: high-priority handling of short-lived authentication artifacts and user awareness prompts.</w:t>
      </w:r>
      <w:bookmarkEnd w:id="94"/>
      <w:r/>
      <w:r/>
    </w:p>
    <w:p>
      <w:pPr>
        <w:pStyle w:val="860"/>
        <w:pBdr/>
        <w:spacing/>
        <w:ind/>
        <w:rPr/>
      </w:pPr>
      <w:r/>
      <w:bookmarkStart w:id="95" w:name="__RefHeading___Toc2459_2076133143"/>
      <w:r/>
      <w:bookmarkStart w:id="96" w:name="Xa4c742fb25a240317046a44c9efe0e101dd0f09"/>
      <w:r/>
      <w:bookmarkEnd w:id="95"/>
      <w:r>
        <w:t xml:space="preserve">STRIDE-style analysis for clipboard pipeline</w:t>
      </w:r>
      <w:r/>
    </w:p>
    <w:p>
      <w:pPr>
        <w:pStyle w:val="921"/>
        <w:pBdr/>
        <w:spacing/>
        <w:ind/>
        <w:rPr/>
      </w:pPr>
      <w:r>
        <w:t xml:space="preserve">Spoofing</w:t>
        <w:br/>
        <w:t xml:space="preserve">Threat: forged process context or deceptive user-facing prompts.</w:t>
        <w:br/>
        <w:t xml:space="preserve">Mitigation direction: trusted UI surfaces, provenance hints, and consistency checks for source labeling.</w:t>
      </w:r>
      <w:r/>
    </w:p>
    <w:p>
      <w:pPr>
        <w:pStyle w:val="917"/>
        <w:pBdr/>
        <w:spacing/>
        <w:ind/>
        <w:rPr/>
      </w:pPr>
      <w:r>
        <w:t xml:space="preserve">Tampering</w:t>
        <w:br/>
        <w:t xml:space="preserve">Threat: unauthorized clipboard replacement.</w:t>
        <w:br/>
        <w:t xml:space="preserve">Mitigation direction: content hashing, change-frequency anomaly checks, and warning banners for high-risk substitutions.</w:t>
      </w:r>
      <w:r/>
    </w:p>
    <w:p>
      <w:pPr>
        <w:pStyle w:val="917"/>
        <w:pBdr/>
        <w:spacing/>
        <w:ind/>
        <w:rPr/>
      </w:pPr>
      <w:r>
        <w:t xml:space="preserve">Repudiation</w:t>
        <w:br/>
        <w:t xml:space="preserve">Threat: inability to reconstruct what happened during a suspected leak.</w:t>
        <w:br/>
        <w:t xml:space="preserve">Mitigation direction: timestamped event logs, immutable export snapshots, and retention governance.</w:t>
      </w:r>
      <w:r/>
    </w:p>
    <w:p>
      <w:pPr>
        <w:pStyle w:val="917"/>
        <w:pBdr/>
        <w:spacing/>
        <w:ind/>
        <w:rPr/>
      </w:pPr>
      <w:r>
        <w:t xml:space="preserve">Information disclosure</w:t>
        <w:br/>
        <w:t xml:space="preserve">Threat: copied sensitive content exposure.</w:t>
        <w:br/>
        <w:t xml:space="preserve">Mitigation direction: selective alerting, optional redaction storage mode, and minimization controls.</w:t>
      </w:r>
      <w:r/>
    </w:p>
    <w:p>
      <w:pPr>
        <w:pStyle w:val="917"/>
        <w:pBdr/>
        <w:spacing/>
        <w:ind/>
        <w:rPr/>
      </w:pPr>
      <w:r>
        <w:t xml:space="preserve">Denial of service</w:t>
        <w:br/>
        <w:t xml:space="preserve">Threat: excessive monitoring overhead or alert flooding.</w:t>
        <w:br/>
        <w:t xml:space="preserve">Mitigation direction: throttling, debouncing, and user-tunable policy profiles.</w:t>
      </w:r>
      <w:r/>
    </w:p>
    <w:p>
      <w:pPr>
        <w:pStyle w:val="917"/>
        <w:pBdr/>
        <w:spacing/>
        <w:ind/>
        <w:rPr/>
      </w:pPr>
      <w:r>
        <w:t xml:space="preserve">Elevation of privilege</w:t>
        <w:br/>
        <w:t xml:space="preserve">Threat: abuse of clipboard channel to inject commands or privileged secrets.</w:t>
        <w:br/>
        <w:t xml:space="preserve">Mitigation direction: pattern expansion for command injection payloads and privileged workflow controls.</w:t>
      </w:r>
      <w:bookmarkEnd w:id="96"/>
      <w:r/>
      <w:r/>
    </w:p>
    <w:p>
      <w:pPr>
        <w:pStyle w:val="860"/>
        <w:pBdr/>
        <w:spacing/>
        <w:ind/>
        <w:rPr/>
      </w:pPr>
      <w:r/>
      <w:bookmarkStart w:id="97" w:name="__RefHeading___Toc2461_2076133143"/>
      <w:r/>
      <w:bookmarkStart w:id="98" w:name="risk-appetite-and-response-philosophy"/>
      <w:r/>
      <w:bookmarkEnd w:id="97"/>
      <w:r>
        <w:t xml:space="preserve">Risk appetite and response philosophy</w:t>
      </w:r>
      <w:r/>
    </w:p>
    <w:p>
      <w:pPr>
        <w:pStyle w:val="921"/>
        <w:pBdr/>
        <w:spacing/>
        <w:ind/>
        <w:rPr/>
      </w:pPr>
      <w:r>
        <w:t xml:space="preserve">A practical endpoint DLP control must define response philosophy clearly. If controls are too strict, users bypass them; if too weak, risk remains unmanaged. This project adopts a balanced response model for an aca</w:t>
      </w:r>
      <w:r>
        <w:t xml:space="preserve">demic prototype: monitor continuously, classify quickly, communicate clearly, and maintain user agency while documenting high-risk outcomes. For enterprise evolution, response should become policy-driven by department, data class, and endpoint criticality.</w:t>
      </w:r>
      <w:bookmarkEnd w:id="98"/>
      <w:r/>
      <w:r/>
    </w:p>
    <w:p>
      <w:pPr>
        <w:pStyle w:val="860"/>
        <w:pBdr/>
        <w:spacing/>
        <w:ind/>
        <w:rPr/>
      </w:pPr>
      <w:r/>
      <w:bookmarkStart w:id="99" w:name="__RefHeading___Toc2463_2076133143"/>
      <w:r/>
      <w:bookmarkStart w:id="100" w:name="defender-observability-model"/>
      <w:r/>
      <w:bookmarkEnd w:id="99"/>
      <w:r>
        <w:t xml:space="preserve">Defender observability model</w:t>
      </w:r>
      <w:r/>
    </w:p>
    <w:p>
      <w:pPr>
        <w:pStyle w:val="921"/>
        <w:pBdr/>
        <w:spacing/>
        <w:ind/>
        <w:rPr/>
      </w:pPr>
      <w:r>
        <w:t xml:space="preserve">Clipboard events should be interpreted with context. A single copied string may be benign in one flow and high risk in another. The prototype currently capt</w:t>
      </w:r>
      <w:r>
        <w:t xml:space="preserve">ures content and optional source hints. Future observability should include process lineage, destination application class, temporal burst analysis, and user feedback outcomes. This richer telemetry supports prioritization and post-incident reconstruction.</w:t>
      </w:r>
      <w:bookmarkEnd w:id="100"/>
      <w:r/>
      <w:r/>
    </w:p>
    <w:p>
      <w:pPr>
        <w:pStyle w:val="860"/>
        <w:pBdr/>
        <w:spacing/>
        <w:ind/>
        <w:rPr/>
      </w:pPr>
      <w:r/>
      <w:bookmarkStart w:id="101" w:name="__RefHeading___Toc2465_2076133143"/>
      <w:r/>
      <w:bookmarkStart w:id="102" w:name="summary"/>
      <w:r/>
      <w:bookmarkEnd w:id="101"/>
      <w:r>
        <w:t xml:space="preserve">Summary</w:t>
      </w:r>
      <w:r/>
    </w:p>
    <w:p>
      <w:pPr>
        <w:pStyle w:val="921"/>
        <w:pBdr/>
        <w:spacing/>
        <w:ind/>
        <w:rPr/>
      </w:pPr>
      <w:r>
        <w:t xml:space="preserve">The extended threat mode</w:t>
      </w:r>
      <w:r>
        <w:t xml:space="preserve">l confirms that clipboard monitoring is a justified defensive control for both malicious and accidental data leakage scenarios. It does not replace broader endpoint protection, but it fills a blind spot between user intent and application trust boundaries.</w:t>
      </w:r>
      <w:bookmarkEnd w:id="86"/>
      <w:r/>
      <w:bookmarkEnd w:id="102"/>
      <w:r/>
      <w:r/>
    </w:p>
    <w:p>
      <w:pPr>
        <w:pStyle w:val="859"/>
        <w:pBdr/>
        <w:spacing/>
        <w:ind/>
        <w:rPr/>
      </w:pPr>
      <w:r/>
      <w:bookmarkStart w:id="103" w:name="__RefHeading___Toc2467_2076133143"/>
      <w:r/>
      <w:bookmarkStart w:id="104" w:name="Xf3081620d56a0f4765584bd5a40a203e4d651a6"/>
      <w:r/>
      <w:bookmarkEnd w:id="103"/>
      <w:r>
        <w:t xml:space="preserve">G. Expanded Architecture and Implementation Walkthrough</w:t>
      </w:r>
      <w:r/>
    </w:p>
    <w:p>
      <w:pPr>
        <w:pStyle w:val="921"/>
        <w:pBdr/>
        <w:spacing/>
        <w:ind/>
        <w:rPr/>
      </w:pPr>
      <w:r>
        <w:t xml:space="preserve">This section documents design rationale and implementation decisions in detail so that the report can be independently reviewed and reproduced.</w:t>
      </w:r>
      <w:r/>
    </w:p>
    <w:p>
      <w:pPr>
        <w:pStyle w:val="860"/>
        <w:pBdr/>
        <w:spacing/>
        <w:ind/>
        <w:rPr/>
      </w:pPr>
      <w:r/>
      <w:bookmarkStart w:id="105" w:name="__RefHeading___Toc2469_2076133143"/>
      <w:r/>
      <w:bookmarkStart w:id="106" w:name="architectural-principles"/>
      <w:r/>
      <w:bookmarkEnd w:id="105"/>
      <w:r>
        <w:t xml:space="preserve">Architectural principles</w:t>
      </w:r>
      <w:r/>
    </w:p>
    <w:p>
      <w:pPr>
        <w:pStyle w:val="921"/>
        <w:pBdr/>
        <w:spacing/>
        <w:ind/>
        <w:rPr/>
      </w:pPr>
      <w:r>
        <w:t xml:space="preserve">The system follows five implementation principles:</w:t>
      </w:r>
      <w:r/>
    </w:p>
    <w:p>
      <w:pPr>
        <w:pStyle w:val="922"/>
        <w:numPr>
          <w:ilvl w:val="0"/>
          <w:numId w:val="97"/>
        </w:numPr>
        <w:pBdr/>
        <w:spacing/>
        <w:ind/>
        <w:rPr/>
      </w:pPr>
      <w:r>
        <w:t xml:space="preserve">Separation of concerns across monitor, detector, persistence, and UI.</w:t>
      </w:r>
      <w:r/>
    </w:p>
    <w:p>
      <w:pPr>
        <w:pStyle w:val="922"/>
        <w:numPr>
          <w:ilvl w:val="0"/>
          <w:numId w:val="1"/>
        </w:numPr>
        <w:pBdr/>
        <w:spacing/>
        <w:ind/>
        <w:rPr/>
      </w:pPr>
      <w:r>
        <w:t xml:space="preserve">Low coupling between detection logic and presentation logic.</w:t>
      </w:r>
      <w:r/>
    </w:p>
    <w:p>
      <w:pPr>
        <w:pStyle w:val="922"/>
        <w:numPr>
          <w:ilvl w:val="0"/>
          <w:numId w:val="1"/>
        </w:numPr>
        <w:pBdr/>
        <w:spacing/>
        <w:ind/>
        <w:rPr/>
      </w:pPr>
      <w:r>
        <w:t xml:space="preserve">Fail-soft behavior under dependency failure.</w:t>
      </w:r>
      <w:r/>
    </w:p>
    <w:p>
      <w:pPr>
        <w:pStyle w:val="922"/>
        <w:numPr>
          <w:ilvl w:val="0"/>
          <w:numId w:val="1"/>
        </w:numPr>
        <w:pBdr/>
        <w:spacing/>
        <w:ind/>
        <w:rPr/>
      </w:pPr>
      <w:r>
        <w:t xml:space="preserve">Observable and auditable event handling.</w:t>
      </w:r>
      <w:r/>
    </w:p>
    <w:p>
      <w:pPr>
        <w:pStyle w:val="922"/>
        <w:numPr>
          <w:ilvl w:val="0"/>
          <w:numId w:val="1"/>
        </w:numPr>
        <w:pBdr/>
        <w:spacing/>
        <w:ind/>
        <w:rPr/>
      </w:pPr>
      <w:r>
        <w:t xml:space="preserve">Incremental extensibility for new rules and response policies.</w:t>
      </w:r>
      <w:r/>
    </w:p>
    <w:p>
      <w:pPr>
        <w:pStyle w:val="921"/>
        <w:pBdr/>
        <w:spacing/>
        <w:ind/>
        <w:rPr/>
      </w:pPr>
      <w:r>
        <w:t xml:space="preserve">These principles reduce complexity and improve maintainability. They also make it easier to discuss validation evidence because each subsystem has clear responsibilities.</w:t>
      </w:r>
      <w:bookmarkEnd w:id="106"/>
      <w:r/>
      <w:r/>
    </w:p>
    <w:p>
      <w:pPr>
        <w:pStyle w:val="860"/>
        <w:pBdr/>
        <w:spacing/>
        <w:ind/>
        <w:rPr/>
      </w:pPr>
      <w:r/>
      <w:bookmarkStart w:id="107" w:name="__RefHeading___Toc2471_2076133143"/>
      <w:r/>
      <w:bookmarkStart w:id="108" w:name="component-responsibilities"/>
      <w:r/>
      <w:bookmarkEnd w:id="107"/>
      <w:r>
        <w:t xml:space="preserve">Component responsibilities</w:t>
      </w:r>
      <w:r/>
    </w:p>
    <w:p>
      <w:pPr>
        <w:pStyle w:val="921"/>
        <w:pBdr/>
        <w:spacing/>
        <w:ind/>
        <w:rPr/>
      </w:pPr>
      <w:r>
        <w:t xml:space="preserve">Monitor component</w:t>
        <w:br/>
        <w:t xml:space="preserve">Runs as a background thread and polls c</w:t>
      </w:r>
      <w:r>
        <w:t xml:space="preserve">lipboard state at a controlled interval. It normalizes newline formats, avoids repeated inserts through deduplication checks, and submits new entries to storage and UI queues. It also supports paused mode and seen-state marking to avoid reprocessing loops.</w:t>
      </w:r>
      <w:r/>
    </w:p>
    <w:p>
      <w:pPr>
        <w:pStyle w:val="917"/>
        <w:pBdr/>
        <w:spacing/>
        <w:ind/>
        <w:rPr/>
      </w:pPr>
      <w:r>
        <w:t xml:space="preserve">Detector component</w:t>
        <w:br/>
        <w:t xml:space="preserve">Applies rege</w:t>
      </w:r>
      <w:r>
        <w:t xml:space="preserve">x-based pattern matching and optional YARA rule evaluation. It returns structured detection objects that include category, span, match value, and source. The detector is intentionally data-oriented: it produces results and does not enforce final UI policy.</w:t>
      </w:r>
      <w:r/>
    </w:p>
    <w:p>
      <w:pPr>
        <w:pStyle w:val="917"/>
        <w:pBdr/>
        <w:spacing/>
        <w:ind/>
        <w:rPr/>
      </w:pPr>
      <w:r>
        <w:t xml:space="preserve">Analyzer component</w:t>
        <w:br/>
        <w:t xml:space="preserve">Implements entropy calculation and simple risk assignment logic. This allows high-entropy key-like strings to be treated with elevated risk even when exact signatures are absent.</w:t>
      </w:r>
      <w:r/>
    </w:p>
    <w:p>
      <w:pPr>
        <w:pStyle w:val="917"/>
        <w:pBdr/>
        <w:spacing/>
        <w:ind/>
        <w:rPr/>
      </w:pPr>
      <w:r>
        <w:t xml:space="preserve">Database component</w:t>
        <w:br/>
        <w:t xml:space="preserve">Uses SQLite for local event persistence. Schema includes id, timestamp, content, and optional source. Backward-compatible schema evolution is handled by checking table columns and applying migration logic when needed.</w:t>
      </w:r>
      <w:r/>
    </w:p>
    <w:p>
      <w:pPr>
        <w:pStyle w:val="917"/>
        <w:pBdr/>
        <w:spacing/>
        <w:ind/>
        <w:rPr/>
      </w:pPr>
      <w:r>
        <w:t xml:space="preserve">UI component</w:t>
        <w:br/>
        <w:t xml:space="preserve">Provides search, row selection, copy-back, deletion, clear-all, and export. It includes preview and status indicators, enabling user-friendly inspection of captured events.</w:t>
      </w:r>
      <w:bookmarkEnd w:id="108"/>
      <w:r/>
      <w:r/>
    </w:p>
    <w:p>
      <w:pPr>
        <w:pStyle w:val="860"/>
        <w:pBdr/>
        <w:spacing/>
        <w:ind/>
        <w:rPr/>
      </w:pPr>
      <w:r/>
      <w:bookmarkStart w:id="109" w:name="__RefHeading___Toc2473_2076133143"/>
      <w:r/>
      <w:bookmarkStart w:id="110" w:name="data-flow-details"/>
      <w:r/>
      <w:bookmarkEnd w:id="109"/>
      <w:r>
        <w:t xml:space="preserve">Data flow details</w:t>
      </w:r>
      <w:r/>
    </w:p>
    <w:p>
      <w:pPr>
        <w:pStyle w:val="921"/>
        <w:pBdr/>
        <w:spacing/>
        <w:ind/>
        <w:rPr/>
      </w:pPr>
      <w:r>
        <w:t xml:space="preserve">The runtime flow starts when clipboard text is read successfully. Text is normalized and compared with both in-memory last-value and latest persisted </w:t>
      </w:r>
      <w:r>
        <w:t xml:space="preserve">value. This dual deduplication design prevents repeated inserts when clipboard remains unchanged. If content is new, the monitor captures best-effort source context, stores the record, performs detection, and emits the event to the queue for UI processing.</w:t>
      </w:r>
      <w:r/>
    </w:p>
    <w:p>
      <w:pPr>
        <w:pStyle w:val="917"/>
        <w:pBdr/>
        <w:spacing/>
        <w:ind/>
        <w:rPr/>
      </w:pPr>
      <w:r>
        <w:t xml:space="preserve">The event queue decouples monitor throughput from UI rendering speed. This protects responsiveness under burst activity and simplifies future migration to alternate frontends.</w:t>
      </w:r>
      <w:bookmarkEnd w:id="110"/>
      <w:r/>
      <w:r/>
    </w:p>
    <w:p>
      <w:pPr>
        <w:pStyle w:val="860"/>
        <w:pBdr/>
        <w:spacing/>
        <w:ind/>
        <w:rPr/>
      </w:pPr>
      <w:r/>
      <w:bookmarkStart w:id="111" w:name="__RefHeading___Toc2475_2076133143"/>
      <w:r/>
      <w:bookmarkStart w:id="112" w:name="error-handling-strategy"/>
      <w:r/>
      <w:bookmarkEnd w:id="111"/>
      <w:r>
        <w:t xml:space="preserve">Error handling strategy</w:t>
      </w:r>
      <w:r/>
    </w:p>
    <w:p>
      <w:pPr>
        <w:pStyle w:val="921"/>
        <w:pBdr/>
        <w:spacing/>
        <w:ind/>
        <w:rPr/>
      </w:pPr>
      <w:r>
        <w:t xml:space="preserve">Clipboard operations can fail because OS APIs differ by platform and user sessi</w:t>
      </w:r>
      <w:r>
        <w:t xml:space="preserve">on state. The implementation follows best-effort behavior: errors in clipboard read, source capture, and optional YARA loading are handled without terminating monitoring. This design avoids catastrophic failure but requires careful logging for diagnostics.</w:t>
      </w:r>
      <w:r/>
    </w:p>
    <w:p>
      <w:pPr>
        <w:pStyle w:val="917"/>
        <w:pBdr/>
        <w:spacing/>
        <w:ind/>
        <w:rPr/>
      </w:pPr>
      <w:r>
        <w:t xml:space="preserve">Potential improvement is to classify error classes explicitly and expose them in a health panel. This would distinguish transient clipboard access failures from persistent dependency misconfiguration.</w:t>
      </w:r>
      <w:bookmarkEnd w:id="112"/>
      <w:r/>
      <w:r/>
    </w:p>
    <w:p>
      <w:pPr>
        <w:pStyle w:val="860"/>
        <w:pBdr/>
        <w:spacing/>
        <w:ind/>
        <w:rPr/>
      </w:pPr>
      <w:r/>
      <w:bookmarkStart w:id="113" w:name="__RefHeading___Toc2477_2076133143"/>
      <w:r/>
      <w:bookmarkStart w:id="114" w:name="detection-engineering-rationale"/>
      <w:r/>
      <w:bookmarkEnd w:id="113"/>
      <w:r>
        <w:t xml:space="preserve">Detection engineering rationale</w:t>
      </w:r>
      <w:r/>
    </w:p>
    <w:p>
      <w:pPr>
        <w:pStyle w:val="921"/>
        <w:pBdr/>
        <w:spacing/>
        <w:ind/>
        <w:rPr/>
      </w:pPr>
      <w:r>
        <w:t xml:space="preserve">Regex patterns are effective for well-structure</w:t>
      </w:r>
      <w:r>
        <w:t xml:space="preserve">d artifacts such as email addresses, access keys, and card-number-like tokens. Their strengths are speed, explainability, and deterministic behavior. Their limitations include inability to understand semantic context and potential overlap with benign data.</w:t>
      </w:r>
      <w:r/>
    </w:p>
    <w:p>
      <w:pPr>
        <w:pStyle w:val="917"/>
        <w:pBdr/>
        <w:spacing/>
        <w:ind/>
        <w:rPr/>
      </w:pPr>
      <w:r>
        <w:t xml:space="preserve">YARA support allows richer rule logic and extensible threat signatures. In this project, YARA integration is optional to keep baseline setup simple. Rule loading is directory-based and resilient to missing or invalid files.</w:t>
      </w:r>
      <w:r/>
    </w:p>
    <w:p>
      <w:pPr>
        <w:pStyle w:val="917"/>
        <w:pBdr/>
        <w:spacing/>
        <w:ind/>
        <w:rPr/>
      </w:pPr>
      <w:r>
        <w:t xml:space="preserve">Entropy heuristics complement signatures by flagging random-looking strings, common in secret material. However, entropy alone is noisy. It should be combined with length, character class balance, and context windows for better precision.</w:t>
      </w:r>
      <w:bookmarkEnd w:id="114"/>
      <w:r/>
      <w:r/>
    </w:p>
    <w:p>
      <w:pPr>
        <w:pStyle w:val="860"/>
        <w:pBdr/>
        <w:spacing/>
        <w:ind/>
        <w:rPr/>
      </w:pPr>
      <w:r/>
      <w:bookmarkStart w:id="115" w:name="__RefHeading___Toc2479_2076133143"/>
      <w:r/>
      <w:bookmarkStart w:id="116" w:name="user-experience-considerations"/>
      <w:r/>
      <w:bookmarkEnd w:id="115"/>
      <w:r>
        <w:t xml:space="preserve">User experience considerations</w:t>
      </w:r>
      <w:r/>
    </w:p>
    <w:p>
      <w:pPr>
        <w:pStyle w:val="921"/>
        <w:pBdr/>
        <w:spacing/>
        <w:ind/>
        <w:rPr/>
      </w:pPr>
      <w:r>
        <w:t xml:space="preserve">The system must alert users without creating alert fatigue. The current implementation surfaces sensitive copy context while preserving user control. For production use, UX should include:</w:t>
      </w:r>
      <w:r/>
    </w:p>
    <w:p>
      <w:pPr>
        <w:pStyle w:val="922"/>
        <w:numPr>
          <w:ilvl w:val="0"/>
          <w:numId w:val="2"/>
        </w:numPr>
        <w:pBdr/>
        <w:spacing/>
        <w:ind/>
        <w:rPr/>
      </w:pPr>
      <w:r>
        <w:t xml:space="preserve">Clear reason codes for every alert.</w:t>
      </w:r>
      <w:r/>
    </w:p>
    <w:p>
      <w:pPr>
        <w:pStyle w:val="922"/>
        <w:numPr>
          <w:ilvl w:val="0"/>
          <w:numId w:val="2"/>
        </w:numPr>
        <w:pBdr/>
        <w:spacing/>
        <w:ind/>
        <w:rPr/>
      </w:pPr>
      <w:r>
        <w:t xml:space="preserve">One-click temporary allow actions with audit logging.</w:t>
      </w:r>
      <w:r/>
    </w:p>
    <w:p>
      <w:pPr>
        <w:pStyle w:val="922"/>
        <w:numPr>
          <w:ilvl w:val="0"/>
          <w:numId w:val="2"/>
        </w:numPr>
        <w:pBdr/>
        <w:spacing/>
        <w:ind/>
        <w:rPr/>
      </w:pPr>
      <w:r>
        <w:t xml:space="preserve">Policy explanations that use plain language.</w:t>
      </w:r>
      <w:r/>
    </w:p>
    <w:p>
      <w:pPr>
        <w:pStyle w:val="922"/>
        <w:numPr>
          <w:ilvl w:val="0"/>
          <w:numId w:val="2"/>
        </w:numPr>
        <w:pBdr/>
        <w:spacing/>
        <w:ind/>
        <w:rPr/>
      </w:pPr>
      <w:r>
        <w:t xml:space="preserve">Time-bound suppression for repetitive benign patterns.</w:t>
      </w:r>
      <w:r/>
    </w:p>
    <w:p>
      <w:pPr>
        <w:pStyle w:val="921"/>
        <w:pBdr/>
        <w:spacing/>
        <w:ind/>
        <w:rPr/>
      </w:pPr>
      <w:r>
        <w:t xml:space="preserve">A strong UX is not cosmetic in security products. It directly affects adoption, trust, and effectiveness.</w:t>
      </w:r>
      <w:bookmarkEnd w:id="116"/>
      <w:r/>
      <w:r/>
    </w:p>
    <w:p>
      <w:pPr>
        <w:pStyle w:val="860"/>
        <w:pBdr/>
        <w:spacing/>
        <w:ind/>
        <w:rPr/>
      </w:pPr>
      <w:r/>
      <w:bookmarkStart w:id="117" w:name="__RefHeading___Toc2481_2076133143"/>
      <w:r/>
      <w:bookmarkStart w:id="118" w:name="persistence-and-privacy-trade-off"/>
      <w:r/>
      <w:bookmarkEnd w:id="117"/>
      <w:r>
        <w:t xml:space="preserve">Persistence and privacy trade-off</w:t>
      </w:r>
      <w:r/>
    </w:p>
    <w:p>
      <w:pPr>
        <w:pStyle w:val="921"/>
        <w:pBdr/>
        <w:spacing/>
        <w:ind/>
        <w:rPr/>
      </w:pPr>
      <w:r>
        <w:t xml:space="preserve">Storing full clipboard text is useful for debugging and academic demonstration but introduces confi</w:t>
      </w:r>
      <w:r>
        <w:t xml:space="preserve">dentiality risk. A privacy-strengthened mode should support hashed payload fingerprints, selective redaction, encrypted local storage, and strict retention windows. In regulated settings, defaults should favor minimization and shortest-necessary retention.</w:t>
      </w:r>
      <w:bookmarkEnd w:id="118"/>
      <w:r/>
      <w:r/>
    </w:p>
    <w:p>
      <w:pPr>
        <w:pStyle w:val="860"/>
        <w:pBdr/>
        <w:spacing/>
        <w:ind/>
        <w:rPr/>
      </w:pPr>
      <w:r/>
      <w:bookmarkStart w:id="119" w:name="__RefHeading___Toc2483_2076133143"/>
      <w:r/>
      <w:bookmarkStart w:id="120" w:name="performance-considerations"/>
      <w:r/>
      <w:bookmarkEnd w:id="119"/>
      <w:r>
        <w:t xml:space="preserve">Performance considerations</w:t>
      </w:r>
      <w:r/>
    </w:p>
    <w:p>
      <w:pPr>
        <w:pStyle w:val="921"/>
        <w:pBdr/>
        <w:spacing/>
        <w:ind/>
        <w:rPr/>
      </w:pPr>
      <w:r>
        <w:t xml:space="preserve">Performance is influenced by polling frequency, detection complexity, storage writes, and UI updates. With lightweight regex sets and local SQLite writes, </w:t>
      </w:r>
      <w:r>
        <w:t xml:space="preserve">prototype overhead is acceptable for workstation use. If pattern count grows significantly, compilation strategy and match ordering should be tuned. If throughput increases, batch insert strategies and asynchronous persistence queues can reduce contention.</w:t>
      </w:r>
      <w:bookmarkEnd w:id="120"/>
      <w:r/>
      <w:r/>
    </w:p>
    <w:p>
      <w:pPr>
        <w:pStyle w:val="860"/>
        <w:pBdr/>
        <w:spacing/>
        <w:ind/>
        <w:rPr/>
      </w:pPr>
      <w:r/>
      <w:bookmarkStart w:id="121" w:name="__RefHeading___Toc2485_2076133143"/>
      <w:r/>
      <w:bookmarkStart w:id="122" w:name="maintainability-and-testability"/>
      <w:r/>
      <w:bookmarkEnd w:id="121"/>
      <w:r>
        <w:t xml:space="preserve">Maintainability and testability</w:t>
      </w:r>
      <w:r/>
    </w:p>
    <w:p>
      <w:pPr>
        <w:pStyle w:val="921"/>
        <w:pBdr/>
        <w:spacing/>
        <w:ind/>
        <w:rPr/>
      </w:pPr>
      <w:r>
        <w:t xml:space="preserve">The module boundaries support test coverage at un</w:t>
      </w:r>
      <w:r>
        <w:t xml:space="preserve">it and integration-like levels. The current tests validate core detection and selected UI behavior. Future testing should include property-based fuzzing for detector stability, regression suites for rule packs, and cross-platform clipboard behavior checks.</w:t>
      </w:r>
      <w:bookmarkEnd w:id="122"/>
      <w:r/>
      <w:r/>
    </w:p>
    <w:p>
      <w:pPr>
        <w:pStyle w:val="860"/>
        <w:pBdr/>
        <w:spacing/>
        <w:ind/>
        <w:rPr/>
      </w:pPr>
      <w:r/>
      <w:bookmarkStart w:id="123" w:name="__RefHeading___Toc2487_2076133143"/>
      <w:r/>
      <w:bookmarkStart w:id="124" w:name="summary-1"/>
      <w:r/>
      <w:bookmarkEnd w:id="123"/>
      <w:r>
        <w:t xml:space="preserve">Summary</w:t>
      </w:r>
      <w:r/>
    </w:p>
    <w:p>
      <w:pPr>
        <w:pStyle w:val="921"/>
        <w:pBdr/>
        <w:spacing/>
        <w:ind/>
        <w:rPr/>
      </w:pPr>
      <w:r>
        <w:t xml:space="preserve">The implementation reflects pragmatic engineering choices</w:t>
      </w:r>
      <w:r>
        <w:t xml:space="preserve"> suitable for an academic prototype: modular structure, explainable detection logic, practical persistence, and user-visible controls. The architecture can be evolved into a policy-driven endpoint service with additional hardening and telemetry enrichment.</w:t>
      </w:r>
      <w:bookmarkEnd w:id="104"/>
      <w:r/>
      <w:bookmarkEnd w:id="124"/>
      <w:r/>
      <w:r/>
    </w:p>
    <w:p>
      <w:pPr>
        <w:pStyle w:val="859"/>
        <w:pBdr/>
        <w:spacing/>
        <w:ind/>
        <w:rPr/>
      </w:pPr>
      <w:r/>
      <w:bookmarkStart w:id="125" w:name="__RefHeading___Toc2489_2076133143"/>
      <w:r/>
      <w:bookmarkStart w:id="126" w:name="Xc06fe69d456c49df1d6da6420a95c24e8111b9f"/>
      <w:r/>
      <w:bookmarkEnd w:id="125"/>
      <w:r>
        <w:t xml:space="preserve">H. Extended Literature Synthesis and Critical Review</w:t>
      </w:r>
      <w:r/>
    </w:p>
    <w:p>
      <w:pPr>
        <w:pStyle w:val="921"/>
        <w:pBdr/>
        <w:spacing/>
        <w:ind/>
        <w:rPr/>
      </w:pPr>
      <w:r>
        <w:t xml:space="preserve">This section expands literature engagement by critically relating standards, research findings, and industry practice to clipboard DLP.</w:t>
      </w:r>
      <w:r/>
    </w:p>
    <w:p>
      <w:pPr>
        <w:pStyle w:val="860"/>
        <w:pBdr/>
        <w:spacing/>
        <w:ind/>
        <w:rPr/>
      </w:pPr>
      <w:r/>
      <w:bookmarkStart w:id="127" w:name="__RefHeading___Toc2491_2076133143"/>
      <w:r/>
      <w:bookmarkStart w:id="128" w:name="why-endpoint-micro-channels-matter"/>
      <w:r/>
      <w:bookmarkEnd w:id="127"/>
      <w:r>
        <w:t xml:space="preserve">Why endpoint micro-channels matter</w:t>
      </w:r>
      <w:r/>
    </w:p>
    <w:p>
      <w:pPr>
        <w:pStyle w:val="921"/>
        <w:pBdr/>
        <w:spacing/>
        <w:ind/>
        <w:rPr/>
      </w:pPr>
      <w:r>
        <w:t xml:space="preserve">Security programs traditionally prioritize network boundaries, identity systems, and appl</w:t>
      </w:r>
      <w:r>
        <w:t xml:space="preserve">ication vulnerabilities. Yet many incidents involve small workflow channels where humans move data between contexts. Clipboard, screenshots, temporary files, browser autofill, and local caches are examples of micro-channels that can bypass formal controls.</w:t>
      </w:r>
      <w:r/>
    </w:p>
    <w:p>
      <w:pPr>
        <w:pStyle w:val="917"/>
        <w:pBdr/>
        <w:spacing/>
        <w:ind/>
        <w:rPr/>
      </w:pPr>
      <w:r>
        <w:t xml:space="preserve">The literature on human-centered security repeatedly</w:t>
      </w:r>
      <w:r>
        <w:t xml:space="preserve"> highlights that users optimize for task completion under time pressure. Controls that do not fit this reality are ignored or bypassed. Therefore, endpoint DLP for micro-channels should be designed as contextual assistance, not only as policing mechanisms.</w:t>
      </w:r>
      <w:bookmarkEnd w:id="128"/>
      <w:r/>
      <w:r/>
    </w:p>
    <w:p>
      <w:pPr>
        <w:pStyle w:val="860"/>
        <w:pBdr/>
        <w:spacing/>
        <w:ind/>
        <w:rPr/>
      </w:pPr>
      <w:r/>
      <w:bookmarkStart w:id="129" w:name="__RefHeading___Toc2493_2076133143"/>
      <w:r/>
      <w:bookmarkStart w:id="130" w:name="positioning-within-dlp-research"/>
      <w:r/>
      <w:bookmarkEnd w:id="129"/>
      <w:r>
        <w:t xml:space="preserve">Positioning within DLP research</w:t>
      </w:r>
      <w:r/>
    </w:p>
    <w:p>
      <w:pPr>
        <w:pStyle w:val="921"/>
        <w:pBdr/>
        <w:spacing/>
        <w:ind/>
        <w:rPr/>
      </w:pPr>
      <w:r>
        <w:t xml:space="preserve">DLP research generally focuses on three vectors: data in transit, data at rest, and data in use. Clipboard belongs to data in use, where content is actively man</w:t>
      </w:r>
      <w:r>
        <w:t xml:space="preserve">ipulated by users and applications. This space is difficult because data context changes quickly and policy certainty is often low. Pattern-based detection remains common due to speed and explainability, while ML approaches seek better context sensitivity.</w:t>
      </w:r>
      <w:r/>
    </w:p>
    <w:p>
      <w:pPr>
        <w:pStyle w:val="917"/>
        <w:pBdr/>
        <w:spacing/>
        <w:ind/>
        <w:rPr/>
      </w:pPr>
      <w:r>
        <w:t xml:space="preserve">A recurring challenge is balancing precision </w:t>
      </w:r>
      <w:r>
        <w:t xml:space="preserve">and recall. High recall reduces misses but increases false positives and user frustration. High precision improves trust but may miss novel sensitive forms. Hybrid strategies, including layered scoring and user feedback loops, are increasingly recommended.</w:t>
      </w:r>
      <w:bookmarkEnd w:id="130"/>
      <w:r/>
      <w:r/>
    </w:p>
    <w:p>
      <w:pPr>
        <w:pStyle w:val="860"/>
        <w:pBdr/>
        <w:spacing/>
        <w:ind/>
        <w:rPr/>
      </w:pPr>
      <w:r/>
      <w:bookmarkStart w:id="131" w:name="__RefHeading___Toc2495_2076133143"/>
      <w:r/>
      <w:bookmarkStart w:id="132" w:name="X0df3300cb8d085cdd706834eb11049785aa95dc"/>
      <w:r/>
      <w:bookmarkEnd w:id="131"/>
      <w:r>
        <w:t xml:space="preserve">Standards interpretation for this project</w:t>
      </w:r>
      <w:r/>
    </w:p>
    <w:p>
      <w:pPr>
        <w:pStyle w:val="921"/>
        <w:pBdr/>
        <w:spacing/>
        <w:ind/>
        <w:rPr/>
      </w:pPr>
      <w:r>
        <w:t xml:space="preserve">ISO/IEC 27001 emphasizes risk-based controls and continual improvement. For clipboard DLP, this maps to explicit risk assessment, control selection, and periodic policy review. NIST CSF detect and respond functions align wi</w:t>
      </w:r>
      <w:r>
        <w:t xml:space="preserve">th monitoring, alerting, and handling workflows. GDPR principles require minimization, transparency, and retention discipline. These standards do not prescribe clipboard-specific controls, but they provide governance constraints and assurance expectations.</w:t>
      </w:r>
      <w:bookmarkEnd w:id="132"/>
      <w:r/>
      <w:r/>
    </w:p>
    <w:p>
      <w:pPr>
        <w:pStyle w:val="860"/>
        <w:pBdr/>
        <w:spacing/>
        <w:ind/>
        <w:rPr/>
      </w:pPr>
      <w:r/>
      <w:bookmarkStart w:id="133" w:name="__RefHeading___Toc2497_2076133143"/>
      <w:r/>
      <w:bookmarkStart w:id="134" w:name="Xe21f8db1b62e011949be008d671922a523eb6e6"/>
      <w:r/>
      <w:bookmarkEnd w:id="133"/>
      <w:r>
        <w:t xml:space="preserve">Evidence quality and practical constraints</w:t>
      </w:r>
      <w:r/>
    </w:p>
    <w:p>
      <w:pPr>
        <w:pStyle w:val="921"/>
        <w:pBdr/>
        <w:spacing/>
        <w:ind/>
        <w:rPr/>
      </w:pPr>
      <w:r>
        <w:t xml:space="preserve">Many industry reports provide valuable trend data but limited methodological tr</w:t>
      </w:r>
      <w:r>
        <w:t xml:space="preserve">ansparency. Academic studies offer rigor but may lag in operational relevance. This report therefore uses triangulation: standards for governance baseline, threat intelligence for scenario realism, and direct prototype evidence for implementation validity.</w:t>
      </w:r>
      <w:bookmarkEnd w:id="134"/>
      <w:r/>
      <w:r/>
    </w:p>
    <w:p>
      <w:pPr>
        <w:pStyle w:val="860"/>
        <w:pBdr/>
        <w:spacing/>
        <w:ind/>
        <w:rPr/>
      </w:pPr>
      <w:r/>
      <w:bookmarkStart w:id="135" w:name="__RefHeading___Toc2499_2076133143"/>
      <w:r/>
      <w:bookmarkStart w:id="136" w:name="critique-of-signature-centric-controls"/>
      <w:r/>
      <w:bookmarkEnd w:id="135"/>
      <w:r>
        <w:t xml:space="preserve">Critique of signature-centric controls</w:t>
      </w:r>
      <w:r/>
    </w:p>
    <w:p>
      <w:pPr>
        <w:pStyle w:val="921"/>
        <w:pBdr/>
        <w:spacing/>
        <w:ind/>
        <w:rPr/>
      </w:pPr>
      <w:r>
        <w:t xml:space="preserve">Signature-centric controls are often criticized for brittleness and evasion risk. That critique is valid for </w:t>
      </w:r>
      <w:r>
        <w:t xml:space="preserve">adversarially adaptive attackers. However, for accidental leakage and opportunistic misuse, signature controls still provide measurable value. In early-stage endpoint programs, explainable deterministic controls are often more adoptable than opaque models.</w:t>
      </w:r>
      <w:r/>
    </w:p>
    <w:p>
      <w:pPr>
        <w:pStyle w:val="917"/>
        <w:pBdr/>
        <w:spacing/>
        <w:ind/>
        <w:rPr/>
      </w:pPr>
      <w:r>
        <w:t xml:space="preserve">The practical conclusion is not signature versus ML, but staged maturity. Start with explainable baselines, instrument outcomes, then add context models where data supports them.</w:t>
      </w:r>
      <w:bookmarkEnd w:id="136"/>
      <w:r/>
      <w:r/>
    </w:p>
    <w:p>
      <w:pPr>
        <w:pStyle w:val="860"/>
        <w:pBdr/>
        <w:spacing/>
        <w:ind/>
        <w:rPr/>
      </w:pPr>
      <w:r/>
      <w:bookmarkStart w:id="137" w:name="__RefHeading___Toc2501_2076133143"/>
      <w:r/>
      <w:bookmarkStart w:id="138" w:name="human-factors-and-alert-design"/>
      <w:r/>
      <w:bookmarkEnd w:id="137"/>
      <w:r>
        <w:t xml:space="preserve">Human factors and alert design</w:t>
      </w:r>
      <w:r/>
    </w:p>
    <w:p>
      <w:pPr>
        <w:pStyle w:val="921"/>
        <w:pBdr/>
        <w:spacing/>
        <w:ind/>
        <w:rPr/>
      </w:pPr>
      <w:r>
        <w:t xml:space="preserve">Security usability research shows that warning quality matters more than warning quantity. Alerts sho</w:t>
      </w:r>
      <w:r>
        <w:t xml:space="preserve">uld state what was detected, why it matters, and what action is recommended. Generic red banners without reason codes produce habituation. In clipboard workflows, timing is also crucial: alerts after paste are less useful than alerts before risky transfer.</w:t>
      </w:r>
      <w:r/>
    </w:p>
    <w:p>
      <w:pPr>
        <w:pStyle w:val="917"/>
        <w:pBdr/>
        <w:spacing/>
        <w:ind/>
        <w:rPr/>
      </w:pPr>
      <w:r>
        <w:t xml:space="preserve">This project’s warning-prefix strategy is a simple intervention that preserves user control while increasing cognitive friction for risky paste operations. More advanced versions could include contextual advice tied to destination app category.</w:t>
      </w:r>
      <w:bookmarkEnd w:id="138"/>
      <w:r/>
      <w:r/>
    </w:p>
    <w:p>
      <w:pPr>
        <w:pStyle w:val="860"/>
        <w:pBdr/>
        <w:spacing/>
        <w:ind/>
        <w:rPr/>
      </w:pPr>
      <w:r/>
      <w:bookmarkStart w:id="139" w:name="__RefHeading___Toc2503_2076133143"/>
      <w:r/>
      <w:bookmarkStart w:id="140" w:name="organizational-adoption-considerations"/>
      <w:r/>
      <w:bookmarkEnd w:id="139"/>
      <w:r>
        <w:t xml:space="preserve">Organizational adoption considerations</w:t>
      </w:r>
      <w:r/>
    </w:p>
    <w:p>
      <w:pPr>
        <w:pStyle w:val="921"/>
        <w:pBdr/>
        <w:spacing/>
        <w:ind/>
        <w:rPr/>
      </w:pPr>
      <w:r>
        <w:t xml:space="preserve">Technical feasibi</w:t>
      </w:r>
      <w:r>
        <w:t xml:space="preserve">lity does not guarantee deployment success. Organizations need policy ownership, acceptable-use definitions, incident handling playbooks, and exception governance. Without these, endpoint DLP can become either overly permissive or operationally disruptive.</w:t>
      </w:r>
      <w:r/>
    </w:p>
    <w:p>
      <w:pPr>
        <w:pStyle w:val="917"/>
        <w:pBdr/>
        <w:spacing/>
        <w:ind/>
        <w:rPr/>
      </w:pPr>
      <w:r>
        <w:t xml:space="preserve">For adoption, teams should begin with monitor-only mode, collect baseline metrics, then move to graduated response policies based on measured risk and user impact.</w:t>
      </w:r>
      <w:bookmarkEnd w:id="140"/>
      <w:r/>
      <w:r/>
    </w:p>
    <w:p>
      <w:pPr>
        <w:pStyle w:val="860"/>
        <w:pBdr/>
        <w:spacing/>
        <w:ind/>
        <w:rPr/>
      </w:pPr>
      <w:r/>
      <w:bookmarkStart w:id="141" w:name="__RefHeading___Toc2505_2076133143"/>
      <w:r/>
      <w:bookmarkStart w:id="142" w:name="research-gap-synthesis"/>
      <w:r/>
      <w:bookmarkEnd w:id="141"/>
      <w:r>
        <w:t xml:space="preserve">Research gap synthesis</w:t>
      </w:r>
      <w:r/>
    </w:p>
    <w:p>
      <w:pPr>
        <w:pStyle w:val="921"/>
        <w:pBdr/>
        <w:spacing/>
        <w:ind/>
        <w:rPr/>
      </w:pPr>
      <w:r>
        <w:t xml:space="preserve">The review indicates five enduring gaps:</w:t>
      </w:r>
      <w:r/>
    </w:p>
    <w:p>
      <w:pPr>
        <w:pStyle w:val="922"/>
        <w:numPr>
          <w:ilvl w:val="0"/>
          <w:numId w:val="98"/>
        </w:numPr>
        <w:pBdr/>
        <w:spacing/>
        <w:ind/>
        <w:rPr/>
      </w:pPr>
      <w:r>
        <w:t xml:space="preserve">Insufficient longitudinal studies on clipboard-specific controls.</w:t>
      </w:r>
      <w:r/>
    </w:p>
    <w:p>
      <w:pPr>
        <w:pStyle w:val="922"/>
        <w:numPr>
          <w:ilvl w:val="0"/>
          <w:numId w:val="1"/>
        </w:numPr>
        <w:pBdr/>
        <w:spacing/>
        <w:ind/>
        <w:rPr/>
      </w:pPr>
      <w:r>
        <w:t xml:space="preserve">Limited public datasets for benchmarking clipboard sensitivity classifiers.</w:t>
      </w:r>
      <w:r/>
    </w:p>
    <w:p>
      <w:pPr>
        <w:pStyle w:val="922"/>
        <w:numPr>
          <w:ilvl w:val="0"/>
          <w:numId w:val="1"/>
        </w:numPr>
        <w:pBdr/>
        <w:spacing/>
        <w:ind/>
        <w:rPr/>
      </w:pPr>
      <w:r>
        <w:t xml:space="preserve">Underdeveloped privacy-preserving endpoint analytics patterns.</w:t>
      </w:r>
      <w:r/>
    </w:p>
    <w:p>
      <w:pPr>
        <w:pStyle w:val="922"/>
        <w:numPr>
          <w:ilvl w:val="0"/>
          <w:numId w:val="1"/>
        </w:numPr>
        <w:pBdr/>
        <w:spacing/>
        <w:ind/>
        <w:rPr/>
      </w:pPr>
      <w:r>
        <w:t xml:space="preserve">Sparse work linking clipboard telemetry to enterprise incident workflows.</w:t>
      </w:r>
      <w:r/>
    </w:p>
    <w:p>
      <w:pPr>
        <w:pStyle w:val="922"/>
        <w:numPr>
          <w:ilvl w:val="0"/>
          <w:numId w:val="1"/>
        </w:numPr>
        <w:pBdr/>
        <w:spacing/>
        <w:ind/>
        <w:rPr/>
      </w:pPr>
      <w:r>
        <w:t xml:space="preserve">Limited comparative UX studies on warning strategies for copy-paste risk.</w:t>
      </w:r>
      <w:r/>
    </w:p>
    <w:p>
      <w:pPr>
        <w:pStyle w:val="921"/>
        <w:pBdr/>
        <w:spacing/>
        <w:ind/>
        <w:rPr/>
      </w:pPr>
      <w:r>
        <w:t xml:space="preserve">Addressing these gaps would improve both scientific understanding and operational outcomes.</w:t>
      </w:r>
      <w:bookmarkEnd w:id="126"/>
      <w:r/>
      <w:bookmarkEnd w:id="142"/>
      <w:r/>
      <w:r/>
    </w:p>
    <w:p>
      <w:pPr>
        <w:pStyle w:val="859"/>
        <w:pBdr/>
        <w:spacing/>
        <w:ind/>
        <w:rPr/>
      </w:pPr>
      <w:r/>
      <w:bookmarkStart w:id="143" w:name="__RefHeading___Toc2507_2076133143"/>
      <w:r/>
      <w:bookmarkStart w:id="144" w:name="Xd71b18ddee1148f20ac6f8fd230635a8b1dc86f"/>
      <w:r/>
      <w:bookmarkEnd w:id="143"/>
      <w:r>
        <w:t xml:space="preserve">I. Detailed Evaluation Framework, Metrics, and Interpretation</w:t>
      </w:r>
      <w:r/>
    </w:p>
    <w:p>
      <w:pPr>
        <w:pStyle w:val="921"/>
        <w:pBdr/>
        <w:spacing/>
        <w:ind/>
        <w:rPr/>
      </w:pPr>
      <w:r>
        <w:t xml:space="preserve">The initial report provided a functional test summary. This section extends evaluation design to align with cybersecurity evidence expectations.</w:t>
      </w:r>
      <w:r/>
    </w:p>
    <w:p>
      <w:pPr>
        <w:pStyle w:val="860"/>
        <w:pBdr/>
        <w:spacing/>
        <w:ind/>
        <w:rPr/>
      </w:pPr>
      <w:r/>
      <w:bookmarkStart w:id="145" w:name="__RefHeading___Toc2509_2076133143"/>
      <w:r/>
      <w:bookmarkStart w:id="146" w:name="evaluation-goals"/>
      <w:r/>
      <w:bookmarkEnd w:id="145"/>
      <w:r>
        <w:t xml:space="preserve">Evaluation goals</w:t>
      </w:r>
      <w:r/>
    </w:p>
    <w:p>
      <w:pPr>
        <w:pStyle w:val="922"/>
        <w:numPr>
          <w:ilvl w:val="0"/>
          <w:numId w:val="99"/>
        </w:numPr>
        <w:pBdr/>
        <w:spacing/>
        <w:ind/>
        <w:rPr/>
      </w:pPr>
      <w:r>
        <w:t xml:space="preserve">Verify functional correctness of monitoring and detection behavior.</w:t>
      </w:r>
      <w:r/>
    </w:p>
    <w:p>
      <w:pPr>
        <w:pStyle w:val="922"/>
        <w:numPr>
          <w:ilvl w:val="0"/>
          <w:numId w:val="1"/>
        </w:numPr>
        <w:pBdr/>
        <w:spacing/>
        <w:ind/>
        <w:rPr/>
      </w:pPr>
      <w:r>
        <w:t xml:space="preserve">Estimate detection usefulness under representative risk scenarios.</w:t>
      </w:r>
      <w:r/>
    </w:p>
    <w:p>
      <w:pPr>
        <w:pStyle w:val="922"/>
        <w:numPr>
          <w:ilvl w:val="0"/>
          <w:numId w:val="1"/>
        </w:numPr>
        <w:pBdr/>
        <w:spacing/>
        <w:ind/>
        <w:rPr/>
      </w:pPr>
      <w:r>
        <w:t xml:space="preserve">Assess operational feasibility with acceptable user and system overhead.</w:t>
      </w:r>
      <w:r/>
    </w:p>
    <w:p>
      <w:pPr>
        <w:pStyle w:val="922"/>
        <w:numPr>
          <w:ilvl w:val="0"/>
          <w:numId w:val="1"/>
        </w:numPr>
        <w:pBdr/>
        <w:spacing/>
        <w:ind/>
        <w:rPr/>
      </w:pPr>
      <w:r>
        <w:t xml:space="preserve">Identify residual risk and roadmap for empirical strengthening.</w:t>
      </w:r>
      <w:bookmarkEnd w:id="146"/>
      <w:r/>
      <w:r/>
    </w:p>
    <w:p>
      <w:pPr>
        <w:pStyle w:val="860"/>
        <w:pBdr/>
        <w:spacing/>
        <w:ind/>
        <w:rPr/>
      </w:pPr>
      <w:r/>
      <w:bookmarkStart w:id="147" w:name="__RefHeading___Toc2511_2076133143"/>
      <w:r/>
      <w:bookmarkStart w:id="148" w:name="test-layers"/>
      <w:r/>
      <w:bookmarkEnd w:id="147"/>
      <w:r>
        <w:t xml:space="preserve">Test layers</w:t>
      </w:r>
      <w:r/>
    </w:p>
    <w:p>
      <w:pPr>
        <w:pStyle w:val="921"/>
        <w:pBdr/>
        <w:spacing/>
        <w:ind/>
        <w:rPr/>
      </w:pPr>
      <w:r>
        <w:t xml:space="preserve">Layer 1: Unit behavior checks</w:t>
        <w:br/>
        <w:t xml:space="preserve">Validate detector outputs, risk assignments, and utility functions.</w:t>
      </w:r>
      <w:r/>
    </w:p>
    <w:p>
      <w:pPr>
        <w:pStyle w:val="917"/>
        <w:pBdr/>
        <w:spacing/>
        <w:ind/>
        <w:rPr/>
      </w:pPr>
      <w:r>
        <w:t xml:space="preserve">Layer 2: UI interaction checks</w:t>
        <w:br/>
        <w:t xml:space="preserve">Validate selection, preview, copy actions, and sensitive prefix behavior.</w:t>
      </w:r>
      <w:r/>
    </w:p>
    <w:p>
      <w:pPr>
        <w:pStyle w:val="917"/>
        <w:pBdr/>
        <w:spacing/>
        <w:ind/>
        <w:rPr/>
      </w:pPr>
      <w:r>
        <w:t xml:space="preserve">Layer 3: Workflow scenario checks</w:t>
        <w:br/>
        <w:t xml:space="preserve">Validate end-to-end flow from clipboard capture to persistence and display.</w:t>
      </w:r>
      <w:r/>
    </w:p>
    <w:p>
      <w:pPr>
        <w:pStyle w:val="917"/>
        <w:pBdr/>
        <w:spacing/>
        <w:ind/>
        <w:rPr/>
      </w:pPr>
      <w:r>
        <w:t xml:space="preserve">Layer 4: Robustness checks</w:t>
        <w:br/>
        <w:t xml:space="preserve">Validate behavior under dependency absence, invalid inputs, and fallback conditions.</w:t>
      </w:r>
      <w:bookmarkEnd w:id="148"/>
      <w:r/>
      <w:r/>
    </w:p>
    <w:p>
      <w:pPr>
        <w:pStyle w:val="860"/>
        <w:pBdr/>
        <w:spacing/>
        <w:ind/>
        <w:rPr/>
      </w:pPr>
      <w:r/>
      <w:bookmarkStart w:id="149" w:name="__RefHeading___Toc2513_2076133143"/>
      <w:r/>
      <w:bookmarkStart w:id="150" w:name="X894f89dea0b172fa2edbda8eb27ad497b42905d"/>
      <w:r/>
      <w:bookmarkEnd w:id="149"/>
      <w:r>
        <w:t xml:space="preserve">Suggested quantitative metrics for next phase</w:t>
      </w:r>
      <w:r/>
    </w:p>
    <w:p>
      <w:pPr>
        <w:pStyle w:val="921"/>
        <w:pBdr/>
        <w:spacing/>
        <w:ind/>
        <w:rPr/>
      </w:pPr>
      <w:r>
        <w:t xml:space="preserve">Detection quality metrics:</w:t>
      </w:r>
      <w:r/>
    </w:p>
    <w:p>
      <w:pPr>
        <w:pStyle w:val="922"/>
        <w:numPr>
          <w:ilvl w:val="0"/>
          <w:numId w:val="2"/>
        </w:numPr>
        <w:pBdr/>
        <w:spacing/>
        <w:ind/>
        <w:rPr/>
      </w:pPr>
      <w:r>
        <w:t xml:space="preserve">Precision for each category.</w:t>
      </w:r>
      <w:r/>
    </w:p>
    <w:p>
      <w:pPr>
        <w:pStyle w:val="922"/>
        <w:numPr>
          <w:ilvl w:val="0"/>
          <w:numId w:val="2"/>
        </w:numPr>
        <w:pBdr/>
        <w:spacing/>
        <w:ind/>
        <w:rPr/>
      </w:pPr>
      <w:r>
        <w:t xml:space="preserve">Recall for each category.</w:t>
      </w:r>
      <w:r/>
    </w:p>
    <w:p>
      <w:pPr>
        <w:pStyle w:val="922"/>
        <w:numPr>
          <w:ilvl w:val="0"/>
          <w:numId w:val="2"/>
        </w:numPr>
        <w:pBdr/>
        <w:spacing/>
        <w:ind/>
        <w:rPr/>
      </w:pPr>
      <w:r>
        <w:t xml:space="preserve">F1 score across categories.</w:t>
      </w:r>
      <w:r/>
    </w:p>
    <w:p>
      <w:pPr>
        <w:pStyle w:val="922"/>
        <w:numPr>
          <w:ilvl w:val="0"/>
          <w:numId w:val="2"/>
        </w:numPr>
        <w:pBdr/>
        <w:spacing/>
        <w:ind/>
        <w:rPr/>
      </w:pPr>
      <w:r>
        <w:t xml:space="preserve">False positive rate in benign copy sessions.</w:t>
      </w:r>
      <w:r/>
    </w:p>
    <w:p>
      <w:pPr>
        <w:pStyle w:val="922"/>
        <w:numPr>
          <w:ilvl w:val="0"/>
          <w:numId w:val="2"/>
        </w:numPr>
        <w:pBdr/>
        <w:spacing/>
        <w:ind/>
        <w:rPr/>
      </w:pPr>
      <w:r>
        <w:t xml:space="preserve">False negative rate in seeded sensitive sessions.</w:t>
      </w:r>
      <w:r/>
    </w:p>
    <w:p>
      <w:pPr>
        <w:pStyle w:val="921"/>
        <w:pBdr/>
        <w:spacing/>
        <w:ind/>
        <w:rPr/>
      </w:pPr>
      <w:r>
        <w:t xml:space="preserve">Performance metrics:</w:t>
      </w:r>
      <w:r/>
    </w:p>
    <w:p>
      <w:pPr>
        <w:pStyle w:val="922"/>
        <w:numPr>
          <w:ilvl w:val="0"/>
          <w:numId w:val="2"/>
        </w:numPr>
        <w:pBdr/>
        <w:spacing/>
        <w:ind/>
        <w:rPr/>
      </w:pPr>
      <w:r>
        <w:t xml:space="preserve">Average detection latency per event.</w:t>
      </w:r>
      <w:r/>
    </w:p>
    <w:p>
      <w:pPr>
        <w:pStyle w:val="922"/>
        <w:numPr>
          <w:ilvl w:val="0"/>
          <w:numId w:val="2"/>
        </w:numPr>
        <w:pBdr/>
        <w:spacing/>
        <w:ind/>
        <w:rPr/>
      </w:pPr>
      <w:r>
        <w:t xml:space="preserve">CPU overhead at idle and burst conditions.</w:t>
      </w:r>
      <w:r/>
    </w:p>
    <w:p>
      <w:pPr>
        <w:pStyle w:val="922"/>
        <w:numPr>
          <w:ilvl w:val="0"/>
          <w:numId w:val="2"/>
        </w:numPr>
        <w:pBdr/>
        <w:spacing/>
        <w:ind/>
        <w:rPr/>
      </w:pPr>
      <w:r>
        <w:t xml:space="preserve">Memory footprint during long-running sessions.</w:t>
      </w:r>
      <w:r/>
    </w:p>
    <w:p>
      <w:pPr>
        <w:pStyle w:val="922"/>
        <w:numPr>
          <w:ilvl w:val="0"/>
          <w:numId w:val="2"/>
        </w:numPr>
        <w:pBdr/>
        <w:spacing/>
        <w:ind/>
        <w:rPr/>
      </w:pPr>
      <w:r>
        <w:t xml:space="preserve">Database write latency distribution.</w:t>
      </w:r>
      <w:r/>
    </w:p>
    <w:p>
      <w:pPr>
        <w:pStyle w:val="921"/>
        <w:pBdr/>
        <w:spacing/>
        <w:ind/>
        <w:rPr/>
      </w:pPr>
      <w:r>
        <w:t xml:space="preserve">Usability metrics:</w:t>
      </w:r>
      <w:r/>
    </w:p>
    <w:p>
      <w:pPr>
        <w:pStyle w:val="922"/>
        <w:numPr>
          <w:ilvl w:val="0"/>
          <w:numId w:val="2"/>
        </w:numPr>
        <w:pBdr/>
        <w:spacing/>
        <w:ind/>
        <w:rPr/>
      </w:pPr>
      <w:r>
        <w:t xml:space="preserve">Alert acceptance versus dismissal ratios.</w:t>
      </w:r>
      <w:r/>
    </w:p>
    <w:p>
      <w:pPr>
        <w:pStyle w:val="922"/>
        <w:numPr>
          <w:ilvl w:val="0"/>
          <w:numId w:val="2"/>
        </w:numPr>
        <w:pBdr/>
        <w:spacing/>
        <w:ind/>
        <w:rPr/>
      </w:pPr>
      <w:r>
        <w:t xml:space="preserve">Time-to-task completion with and without warnings.</w:t>
      </w:r>
      <w:r/>
    </w:p>
    <w:p>
      <w:pPr>
        <w:pStyle w:val="922"/>
        <w:numPr>
          <w:ilvl w:val="0"/>
          <w:numId w:val="2"/>
        </w:numPr>
        <w:pBdr/>
        <w:spacing/>
        <w:ind/>
        <w:rPr/>
      </w:pPr>
      <w:r>
        <w:t xml:space="preserve">User-reported clarity of alerts and controls.</w:t>
      </w:r>
      <w:r/>
    </w:p>
    <w:p>
      <w:pPr>
        <w:pStyle w:val="922"/>
        <w:numPr>
          <w:ilvl w:val="0"/>
          <w:numId w:val="2"/>
        </w:numPr>
        <w:pBdr/>
        <w:spacing/>
        <w:ind/>
        <w:rPr/>
      </w:pPr>
      <w:r>
        <w:t xml:space="preserve">Frequency of override actions by risk category.</w:t>
      </w:r>
      <w:r/>
    </w:p>
    <w:p>
      <w:pPr>
        <w:pStyle w:val="921"/>
        <w:pBdr/>
        <w:spacing/>
        <w:ind/>
        <w:rPr/>
      </w:pPr>
      <w:r>
        <w:t xml:space="preserve">Governance metrics:</w:t>
      </w:r>
      <w:r/>
    </w:p>
    <w:p>
      <w:pPr>
        <w:pStyle w:val="922"/>
        <w:numPr>
          <w:ilvl w:val="0"/>
          <w:numId w:val="2"/>
        </w:numPr>
        <w:pBdr/>
        <w:spacing/>
        <w:ind/>
        <w:rPr/>
      </w:pPr>
      <w:r>
        <w:t xml:space="preserve">Percentage of events retained beyond policy window.</w:t>
      </w:r>
      <w:r/>
    </w:p>
    <w:p>
      <w:pPr>
        <w:pStyle w:val="922"/>
        <w:numPr>
          <w:ilvl w:val="0"/>
          <w:numId w:val="2"/>
        </w:numPr>
        <w:pBdr/>
        <w:spacing/>
        <w:ind/>
        <w:rPr/>
      </w:pPr>
      <w:r>
        <w:t xml:space="preserve">Percentage of high-risk events with complete audit metadata.</w:t>
      </w:r>
      <w:r/>
    </w:p>
    <w:p>
      <w:pPr>
        <w:pStyle w:val="922"/>
        <w:numPr>
          <w:ilvl w:val="0"/>
          <w:numId w:val="2"/>
        </w:numPr>
        <w:pBdr/>
        <w:spacing/>
        <w:ind/>
        <w:rPr/>
      </w:pPr>
      <w:r>
        <w:t xml:space="preserve">Policy drift incidents between configured and intended controls.</w:t>
      </w:r>
      <w:bookmarkEnd w:id="150"/>
      <w:r/>
      <w:r/>
    </w:p>
    <w:p>
      <w:pPr>
        <w:pStyle w:val="860"/>
        <w:pBdr/>
        <w:spacing/>
        <w:ind/>
        <w:rPr/>
      </w:pPr>
      <w:r/>
      <w:bookmarkStart w:id="151" w:name="__RefHeading___Toc2515_2076133143"/>
      <w:r/>
      <w:bookmarkStart w:id="152" w:name="current-evidence-interpretation"/>
      <w:r/>
      <w:bookmarkEnd w:id="151"/>
      <w:r>
        <w:t xml:space="preserve">Current evidence interpretation</w:t>
      </w:r>
      <w:r/>
    </w:p>
    <w:p>
      <w:pPr>
        <w:pStyle w:val="921"/>
        <w:pBdr/>
        <w:spacing/>
        <w:ind/>
        <w:rPr/>
      </w:pPr>
      <w:r>
        <w:t xml:space="preserve">Current automated tests confirm expected baseline functionality in covered pathways. Passi</w:t>
      </w:r>
      <w:r>
        <w:t xml:space="preserve">ng tests indicate implementation consistency for designed cases, not completeness under all real-world inputs. The import-path issue encountered during testing highlights environment sensitivity and underscores need for standardized test execution scripts.</w:t>
      </w:r>
      <w:r/>
    </w:p>
    <w:p>
      <w:pPr>
        <w:pStyle w:val="917"/>
        <w:pBdr/>
        <w:spacing/>
        <w:ind/>
        <w:rPr/>
      </w:pPr>
      <w:r>
        <w:t xml:space="preserve">Given the current scope, findings should be interpreted as proof-of-concept validity rather than production-grade assurance. This distinction is important for academic integrity and for setting realistic stakeholder expectations.</w:t>
      </w:r>
      <w:bookmarkEnd w:id="152"/>
      <w:r/>
      <w:r/>
    </w:p>
    <w:p>
      <w:pPr>
        <w:pStyle w:val="860"/>
        <w:pBdr/>
        <w:spacing/>
        <w:ind/>
        <w:rPr/>
      </w:pPr>
      <w:r/>
      <w:bookmarkStart w:id="153" w:name="__RefHeading___Toc2517_2076133143"/>
      <w:r/>
      <w:bookmarkStart w:id="154" w:name="threat-informed-scenario-evaluation"/>
      <w:r/>
      <w:bookmarkEnd w:id="153"/>
      <w:r>
        <w:t xml:space="preserve">Threat-informed scenario evaluation</w:t>
      </w:r>
      <w:r/>
    </w:p>
    <w:p>
      <w:pPr>
        <w:pStyle w:val="921"/>
        <w:pBdr/>
        <w:spacing/>
        <w:ind/>
        <w:rPr/>
      </w:pPr>
      <w:r>
        <w:t xml:space="preserve">A robust future evaluation should include scenario libraries mapping to sp</w:t>
      </w:r>
      <w:r>
        <w:t xml:space="preserve">ecific ATT&amp;CK techniques. Each scenario should define preconditions, execution steps, expected detections, response expectations, and post-incident evidence requirements. This structure enables reproducibility and comparative analysis across tool versions.</w:t>
      </w:r>
      <w:r/>
    </w:p>
    <w:p>
      <w:pPr>
        <w:pStyle w:val="917"/>
        <w:pBdr/>
        <w:spacing/>
        <w:ind/>
        <w:rPr/>
      </w:pPr>
      <w:r>
        <w:t xml:space="preserve">Example scenario template:</w:t>
      </w:r>
      <w:r/>
    </w:p>
    <w:p>
      <w:pPr>
        <w:pStyle w:val="922"/>
        <w:numPr>
          <w:ilvl w:val="0"/>
          <w:numId w:val="2"/>
        </w:numPr>
        <w:pBdr/>
        <w:spacing/>
        <w:ind/>
        <w:rPr/>
      </w:pPr>
      <w:r>
        <w:t xml:space="preserve">Scenario ID and objective.</w:t>
      </w:r>
      <w:r/>
    </w:p>
    <w:p>
      <w:pPr>
        <w:pStyle w:val="922"/>
        <w:numPr>
          <w:ilvl w:val="0"/>
          <w:numId w:val="2"/>
        </w:numPr>
        <w:pBdr/>
        <w:spacing/>
        <w:ind/>
        <w:rPr/>
      </w:pPr>
      <w:r>
        <w:t xml:space="preserve">Adversary action and user action.</w:t>
      </w:r>
      <w:r/>
    </w:p>
    <w:p>
      <w:pPr>
        <w:pStyle w:val="922"/>
        <w:numPr>
          <w:ilvl w:val="0"/>
          <w:numId w:val="2"/>
        </w:numPr>
        <w:pBdr/>
        <w:spacing/>
        <w:ind/>
        <w:rPr/>
      </w:pPr>
      <w:r>
        <w:t xml:space="preserve">Test payload and expected detection category.</w:t>
      </w:r>
      <w:r/>
    </w:p>
    <w:p>
      <w:pPr>
        <w:pStyle w:val="922"/>
        <w:numPr>
          <w:ilvl w:val="0"/>
          <w:numId w:val="2"/>
        </w:numPr>
        <w:pBdr/>
        <w:spacing/>
        <w:ind/>
        <w:rPr/>
      </w:pPr>
      <w:r>
        <w:t xml:space="preserve">Expected alert and logging behavior.</w:t>
      </w:r>
      <w:r/>
    </w:p>
    <w:p>
      <w:pPr>
        <w:pStyle w:val="922"/>
        <w:numPr>
          <w:ilvl w:val="0"/>
          <w:numId w:val="2"/>
        </w:numPr>
        <w:pBdr/>
        <w:spacing/>
        <w:ind/>
        <w:rPr/>
      </w:pPr>
      <w:r>
        <w:t xml:space="preserve">Acceptance criteria and failure conditions.</w:t>
      </w:r>
      <w:bookmarkEnd w:id="154"/>
      <w:r/>
      <w:r/>
    </w:p>
    <w:p>
      <w:pPr>
        <w:pStyle w:val="860"/>
        <w:pBdr/>
        <w:spacing/>
        <w:ind/>
        <w:rPr/>
      </w:pPr>
      <w:r/>
      <w:bookmarkStart w:id="155" w:name="__RefHeading___Toc2519_2076133143"/>
      <w:r/>
      <w:bookmarkStart w:id="156" w:name="limitations-of-current-evaluation"/>
      <w:r/>
      <w:bookmarkEnd w:id="155"/>
      <w:r>
        <w:t xml:space="preserve">Limitations of current evaluation</w:t>
      </w:r>
      <w:r/>
    </w:p>
    <w:p>
      <w:pPr>
        <w:pStyle w:val="922"/>
        <w:numPr>
          <w:ilvl w:val="0"/>
          <w:numId w:val="2"/>
        </w:numPr>
        <w:pBdr/>
        <w:spacing/>
        <w:ind/>
        <w:rPr/>
      </w:pPr>
      <w:r>
        <w:t xml:space="preserve">Small sample of automated tests.</w:t>
      </w:r>
      <w:r/>
    </w:p>
    <w:p>
      <w:pPr>
        <w:pStyle w:val="922"/>
        <w:numPr>
          <w:ilvl w:val="0"/>
          <w:numId w:val="2"/>
        </w:numPr>
        <w:pBdr/>
        <w:spacing/>
        <w:ind/>
        <w:rPr/>
      </w:pPr>
      <w:r>
        <w:t xml:space="preserve">No broad corpus for precision and recall estimation.</w:t>
      </w:r>
      <w:r/>
    </w:p>
    <w:p>
      <w:pPr>
        <w:pStyle w:val="922"/>
        <w:numPr>
          <w:ilvl w:val="0"/>
          <w:numId w:val="2"/>
        </w:numPr>
        <w:pBdr/>
        <w:spacing/>
        <w:ind/>
        <w:rPr/>
      </w:pPr>
      <w:r>
        <w:t xml:space="preserve">No controlled user study for alert usability.</w:t>
      </w:r>
      <w:r/>
    </w:p>
    <w:p>
      <w:pPr>
        <w:pStyle w:val="922"/>
        <w:numPr>
          <w:ilvl w:val="0"/>
          <w:numId w:val="2"/>
        </w:numPr>
        <w:pBdr/>
        <w:spacing/>
        <w:ind/>
        <w:rPr/>
      </w:pPr>
      <w:r>
        <w:t xml:space="preserve">Limited cross-platform verification under varied desktop environments.</w:t>
      </w:r>
      <w:r/>
    </w:p>
    <w:p>
      <w:pPr>
        <w:pStyle w:val="921"/>
        <w:pBdr/>
        <w:spacing/>
        <w:ind/>
        <w:rPr/>
      </w:pPr>
      <w:r>
        <w:t xml:space="preserve">These limitations do not invalidate results but define confidence boundaries.</w:t>
      </w:r>
      <w:bookmarkEnd w:id="156"/>
      <w:r/>
      <w:r/>
    </w:p>
    <w:p>
      <w:pPr>
        <w:pStyle w:val="860"/>
        <w:pBdr/>
        <w:spacing/>
        <w:ind/>
        <w:rPr/>
      </w:pPr>
      <w:r/>
      <w:bookmarkStart w:id="157" w:name="__RefHeading___Toc2521_2076133143"/>
      <w:r/>
      <w:bookmarkStart w:id="158" w:name="evaluation-maturity-roadmap"/>
      <w:r/>
      <w:bookmarkEnd w:id="157"/>
      <w:r>
        <w:t xml:space="preserve">Evaluation maturity roadmap</w:t>
      </w:r>
      <w:r/>
    </w:p>
    <w:p>
      <w:pPr>
        <w:pStyle w:val="921"/>
        <w:pBdr/>
        <w:spacing/>
        <w:ind/>
        <w:rPr/>
      </w:pPr>
      <w:r>
        <w:t xml:space="preserve">Phase 1: Functional confidence</w:t>
        <w:br/>
        <w:t xml:space="preserve">Expand unit tests and edge-case coverage.</w:t>
      </w:r>
      <w:r/>
    </w:p>
    <w:p>
      <w:pPr>
        <w:pStyle w:val="917"/>
        <w:pBdr/>
        <w:spacing/>
        <w:ind/>
        <w:rPr/>
      </w:pPr>
      <w:r>
        <w:t xml:space="preserve">Phase 2: Empirical quality</w:t>
        <w:br/>
        <w:t xml:space="preserve">Build labeled datasets and compute category-level metrics.</w:t>
      </w:r>
      <w:r/>
    </w:p>
    <w:p>
      <w:pPr>
        <w:pStyle w:val="917"/>
        <w:pBdr/>
        <w:spacing/>
        <w:ind/>
        <w:rPr/>
      </w:pPr>
      <w:r>
        <w:t xml:space="preserve">Phase 3: Operational realism</w:t>
        <w:br/>
        <w:t xml:space="preserve">Run long-duration endpoint pilots with policy tuning.</w:t>
      </w:r>
      <w:r/>
    </w:p>
    <w:p>
      <w:pPr>
        <w:pStyle w:val="917"/>
        <w:pBdr/>
        <w:spacing/>
        <w:ind/>
        <w:rPr/>
      </w:pPr>
      <w:r>
        <w:t xml:space="preserve">Phase 4: Governance assurance</w:t>
        <w:br/>
        <w:t xml:space="preserve">Integrate compliance checks, retention enforcement, and audit reporting.</w:t>
      </w:r>
      <w:bookmarkEnd w:id="144"/>
      <w:r/>
      <w:bookmarkEnd w:id="158"/>
      <w:r/>
      <w:r/>
    </w:p>
    <w:p>
      <w:pPr>
        <w:pStyle w:val="859"/>
        <w:pBdr/>
        <w:spacing/>
        <w:ind/>
        <w:rPr/>
      </w:pPr>
      <w:r/>
      <w:bookmarkStart w:id="159" w:name="__RefHeading___Toc2523_2076133143"/>
      <w:r/>
      <w:bookmarkStart w:id="160" w:name="j.-compliance-and-control-mapping-matrix"/>
      <w:r/>
      <w:bookmarkEnd w:id="159"/>
      <w:r>
        <w:t xml:space="preserve">J. Compliance and Control Mapping Matrix</w:t>
      </w:r>
      <w:r/>
    </w:p>
    <w:p>
      <w:pPr>
        <w:pStyle w:val="921"/>
        <w:pBdr/>
        <w:spacing/>
        <w:ind/>
        <w:rPr/>
      </w:pPr>
      <w:r>
        <w:t xml:space="preserve">This section translates project functions into control-oriented language used by governance and audit teams.</w:t>
      </w:r>
      <w:r/>
    </w:p>
    <w:p>
      <w:pPr>
        <w:pStyle w:val="860"/>
        <w:pBdr/>
        <w:spacing/>
        <w:ind/>
        <w:rPr/>
      </w:pPr>
      <w:r/>
      <w:bookmarkStart w:id="161" w:name="__RefHeading___Toc2525_2076133143"/>
      <w:r/>
      <w:bookmarkStart w:id="162" w:name="isoiec-27001-alignment-examples"/>
      <w:r/>
      <w:bookmarkEnd w:id="161"/>
      <w:r>
        <w:t xml:space="preserve">ISO/IEC 27001 alignment examples</w:t>
      </w:r>
      <w:r/>
    </w:p>
    <w:p>
      <w:pPr>
        <w:pStyle w:val="921"/>
        <w:pBdr/>
        <w:spacing/>
        <w:ind/>
        <w:rPr/>
      </w:pPr>
      <w:r>
        <w:t xml:space="preserve">Control objective: information security event logging</w:t>
        <w:br/>
        <w:t xml:space="preserve">Project mapping: timestamped local events with detection labels and source hints.</w:t>
      </w:r>
      <w:r/>
    </w:p>
    <w:p>
      <w:pPr>
        <w:pStyle w:val="917"/>
        <w:pBdr/>
        <w:spacing/>
        <w:ind/>
        <w:rPr/>
      </w:pPr>
      <w:r>
        <w:t xml:space="preserve">Control objective: risk treatment implementation</w:t>
        <w:br/>
        <w:t xml:space="preserve">Project mapping: risk-tiered handling through detection categories and response cues.</w:t>
      </w:r>
      <w:r/>
    </w:p>
    <w:p>
      <w:pPr>
        <w:pStyle w:val="917"/>
        <w:pBdr/>
        <w:spacing/>
        <w:ind/>
        <w:rPr/>
      </w:pPr>
      <w:r>
        <w:t xml:space="preserve">Control objective: secure development and change management</w:t>
        <w:br/>
        <w:t xml:space="preserve">Project mapping: modular design and test evidence for core functionality.</w:t>
      </w:r>
      <w:r/>
    </w:p>
    <w:p>
      <w:pPr>
        <w:pStyle w:val="917"/>
        <w:pBdr/>
        <w:spacing/>
        <w:ind/>
        <w:rPr/>
      </w:pPr>
      <w:r>
        <w:t xml:space="preserve">Control objective: operational monitoring</w:t>
        <w:br/>
        <w:t xml:space="preserve">Project mapping: continuous clipboard observation with queue-driven UI updates.</w:t>
      </w:r>
      <w:bookmarkEnd w:id="162"/>
      <w:r/>
      <w:r/>
    </w:p>
    <w:p>
      <w:pPr>
        <w:pStyle w:val="860"/>
        <w:pBdr/>
        <w:spacing/>
        <w:ind/>
        <w:rPr/>
      </w:pPr>
      <w:r/>
      <w:bookmarkStart w:id="163" w:name="__RefHeading___Toc2527_2076133143"/>
      <w:r/>
      <w:bookmarkStart w:id="164" w:name="nist-csf-mapping-examples"/>
      <w:r/>
      <w:bookmarkEnd w:id="163"/>
      <w:r>
        <w:t xml:space="preserve">NIST CSF mapping examples</w:t>
      </w:r>
      <w:r/>
    </w:p>
    <w:p>
      <w:pPr>
        <w:pStyle w:val="921"/>
        <w:pBdr/>
        <w:spacing/>
        <w:ind/>
        <w:rPr/>
      </w:pPr>
      <w:r>
        <w:t xml:space="preserve">Detect (DE.CM)</w:t>
        <w:br/>
        <w:t xml:space="preserve">Continuous monitoring of endpoint clipboard channel.</w:t>
      </w:r>
      <w:r/>
    </w:p>
    <w:p>
      <w:pPr>
        <w:pStyle w:val="917"/>
        <w:pBdr/>
        <w:spacing/>
        <w:ind/>
        <w:rPr/>
      </w:pPr>
      <w:r>
        <w:t xml:space="preserve">Respond (RS.AN, RS.MI)</w:t>
        <w:br/>
        <w:t xml:space="preserve">Event visibility for analysis and immediate user signaling to reduce risky transfer.</w:t>
      </w:r>
      <w:r/>
    </w:p>
    <w:p>
      <w:pPr>
        <w:pStyle w:val="917"/>
        <w:pBdr/>
        <w:spacing/>
        <w:ind/>
        <w:rPr/>
      </w:pPr>
      <w:r>
        <w:t xml:space="preserve">Recover (RC.IM)</w:t>
        <w:br/>
        <w:t xml:space="preserve">Evidence collection supports learning and iterative policy improvement.</w:t>
      </w:r>
      <w:bookmarkEnd w:id="164"/>
      <w:r/>
      <w:r/>
    </w:p>
    <w:p>
      <w:pPr>
        <w:pStyle w:val="860"/>
        <w:pBdr/>
        <w:spacing/>
        <w:ind/>
        <w:rPr/>
      </w:pPr>
      <w:r/>
      <w:bookmarkStart w:id="165" w:name="__RefHeading___Toc2529_2076133143"/>
      <w:r/>
      <w:bookmarkStart w:id="166" w:name="gdpr-principle-mapping"/>
      <w:r/>
      <w:bookmarkEnd w:id="165"/>
      <w:r>
        <w:t xml:space="preserve">GDPR principle mapping</w:t>
      </w:r>
      <w:r/>
    </w:p>
    <w:p>
      <w:pPr>
        <w:pStyle w:val="921"/>
        <w:pBdr/>
        <w:spacing/>
        <w:ind/>
        <w:rPr/>
      </w:pPr>
      <w:r>
        <w:t xml:space="preserve">Lawfulness, fairness, transparency</w:t>
        <w:br/>
        <w:t xml:space="preserve">Requires clear user notice and justifiable policy basis before monitoring.</w:t>
      </w:r>
      <w:r/>
    </w:p>
    <w:p>
      <w:pPr>
        <w:pStyle w:val="917"/>
        <w:pBdr/>
        <w:spacing/>
        <w:ind/>
        <w:rPr/>
      </w:pPr>
      <w:r>
        <w:t xml:space="preserve">Purpose limitation</w:t>
        <w:br/>
        <w:t xml:space="preserve">Clipboard data should be used only for security monitoring objectives.</w:t>
      </w:r>
      <w:r/>
    </w:p>
    <w:p>
      <w:pPr>
        <w:pStyle w:val="917"/>
        <w:pBdr/>
        <w:spacing/>
        <w:ind/>
        <w:rPr/>
      </w:pPr>
      <w:r>
        <w:t xml:space="preserve">Data minimization</w:t>
        <w:br/>
        <w:t xml:space="preserve">Prefer metadata and redacted storage where full payload is unnecessary.</w:t>
      </w:r>
      <w:r/>
    </w:p>
    <w:p>
      <w:pPr>
        <w:pStyle w:val="917"/>
        <w:pBdr/>
        <w:spacing/>
        <w:ind/>
        <w:rPr/>
      </w:pPr>
      <w:r>
        <w:t xml:space="preserve">Storage limitation</w:t>
        <w:br/>
        <w:t xml:space="preserve">Retention periods must be explicit, enforced, and auditable.</w:t>
      </w:r>
      <w:r/>
    </w:p>
    <w:p>
      <w:pPr>
        <w:pStyle w:val="917"/>
        <w:pBdr/>
        <w:spacing/>
        <w:ind/>
        <w:rPr/>
      </w:pPr>
      <w:r>
        <w:t xml:space="preserve">Integrity and confidentiality</w:t>
        <w:br/>
        <w:t xml:space="preserve">Stored records should be protected with access controls and encryption where feasible.</w:t>
      </w:r>
      <w:r/>
    </w:p>
    <w:p>
      <w:pPr>
        <w:pStyle w:val="917"/>
        <w:pBdr/>
        <w:spacing/>
        <w:ind/>
        <w:rPr/>
      </w:pPr>
      <w:r>
        <w:t xml:space="preserve">Accountability</w:t>
        <w:br/>
        <w:t xml:space="preserve">Configuration and event evidence should support internal audits.</w:t>
      </w:r>
      <w:bookmarkEnd w:id="166"/>
      <w:r/>
      <w:r/>
    </w:p>
    <w:p>
      <w:pPr>
        <w:pStyle w:val="860"/>
        <w:pBdr/>
        <w:spacing/>
        <w:ind/>
        <w:rPr/>
      </w:pPr>
      <w:r/>
      <w:bookmarkStart w:id="167" w:name="__RefHeading___Toc2531_2076133143"/>
      <w:r/>
      <w:bookmarkStart w:id="168" w:name="practical-compliance-procedures"/>
      <w:r/>
      <w:bookmarkEnd w:id="167"/>
      <w:r>
        <w:t xml:space="preserve">Practical compliance procedures</w:t>
      </w:r>
      <w:r/>
    </w:p>
    <w:p>
      <w:pPr>
        <w:pStyle w:val="922"/>
        <w:numPr>
          <w:ilvl w:val="0"/>
          <w:numId w:val="100"/>
        </w:numPr>
        <w:pBdr/>
        <w:spacing/>
        <w:ind/>
        <w:rPr/>
      </w:pPr>
      <w:r>
        <w:t xml:space="preserve">Document policy purpose, legal basis, and user communication.</w:t>
      </w:r>
      <w:r/>
    </w:p>
    <w:p>
      <w:pPr>
        <w:pStyle w:val="922"/>
        <w:numPr>
          <w:ilvl w:val="0"/>
          <w:numId w:val="1"/>
        </w:numPr>
        <w:pBdr/>
        <w:spacing/>
        <w:ind/>
        <w:rPr/>
      </w:pPr>
      <w:r>
        <w:t xml:space="preserve">Define data classes and response actions by risk level.</w:t>
      </w:r>
      <w:r/>
    </w:p>
    <w:p>
      <w:pPr>
        <w:pStyle w:val="922"/>
        <w:numPr>
          <w:ilvl w:val="0"/>
          <w:numId w:val="1"/>
        </w:numPr>
        <w:pBdr/>
        <w:spacing/>
        <w:ind/>
        <w:rPr/>
      </w:pPr>
      <w:r>
        <w:t xml:space="preserve">Implement retention and deletion automation.</w:t>
      </w:r>
      <w:r/>
    </w:p>
    <w:p>
      <w:pPr>
        <w:pStyle w:val="922"/>
        <w:numPr>
          <w:ilvl w:val="0"/>
          <w:numId w:val="1"/>
        </w:numPr>
        <w:pBdr/>
        <w:spacing/>
        <w:ind/>
        <w:rPr/>
      </w:pPr>
      <w:r>
        <w:t xml:space="preserve">Restrict access to event storage and exports.</w:t>
      </w:r>
      <w:r/>
    </w:p>
    <w:p>
      <w:pPr>
        <w:pStyle w:val="922"/>
        <w:numPr>
          <w:ilvl w:val="0"/>
          <w:numId w:val="1"/>
        </w:numPr>
        <w:pBdr/>
        <w:spacing/>
        <w:ind/>
        <w:rPr/>
      </w:pPr>
      <w:r>
        <w:t xml:space="preserve">Review control effectiveness quarterly and after incidents.</w:t>
      </w:r>
      <w:bookmarkEnd w:id="168"/>
      <w:r/>
      <w:r/>
    </w:p>
    <w:p>
      <w:pPr>
        <w:pStyle w:val="860"/>
        <w:pBdr/>
        <w:spacing/>
        <w:ind/>
        <w:rPr/>
      </w:pPr>
      <w:r/>
      <w:bookmarkStart w:id="169" w:name="__RefHeading___Toc2533_2076133143"/>
      <w:r/>
      <w:bookmarkStart w:id="170" w:name="audit-readiness-checklist"/>
      <w:r/>
      <w:bookmarkEnd w:id="169"/>
      <w:r>
        <w:t xml:space="preserve">Audit readiness checklist</w:t>
      </w:r>
      <w:r/>
    </w:p>
    <w:p>
      <w:pPr>
        <w:pStyle w:val="922"/>
        <w:numPr>
          <w:ilvl w:val="0"/>
          <w:numId w:val="2"/>
        </w:numPr>
        <w:pBdr/>
        <w:spacing/>
        <w:ind/>
        <w:rPr/>
      </w:pPr>
      <w:r>
        <w:t xml:space="preserve">Is monitoring scope explicitly documented?</w:t>
      </w:r>
      <w:r/>
    </w:p>
    <w:p>
      <w:pPr>
        <w:pStyle w:val="922"/>
        <w:numPr>
          <w:ilvl w:val="0"/>
          <w:numId w:val="2"/>
        </w:numPr>
        <w:pBdr/>
        <w:spacing/>
        <w:ind/>
        <w:rPr/>
      </w:pPr>
      <w:r>
        <w:t xml:space="preserve">Are users informed and trained on behavior expectations?</w:t>
      </w:r>
      <w:r/>
    </w:p>
    <w:p>
      <w:pPr>
        <w:pStyle w:val="922"/>
        <w:numPr>
          <w:ilvl w:val="0"/>
          <w:numId w:val="2"/>
        </w:numPr>
        <w:pBdr/>
        <w:spacing/>
        <w:ind/>
        <w:rPr/>
      </w:pPr>
      <w:r>
        <w:t xml:space="preserve">Are high-risk detections traceable to event records?</w:t>
      </w:r>
      <w:r/>
    </w:p>
    <w:p>
      <w:pPr>
        <w:pStyle w:val="922"/>
        <w:numPr>
          <w:ilvl w:val="0"/>
          <w:numId w:val="2"/>
        </w:numPr>
        <w:pBdr/>
        <w:spacing/>
        <w:ind/>
        <w:rPr/>
      </w:pPr>
      <w:r>
        <w:t xml:space="preserve">Are retention controls technically enforced?</w:t>
      </w:r>
      <w:r/>
    </w:p>
    <w:p>
      <w:pPr>
        <w:pStyle w:val="922"/>
        <w:numPr>
          <w:ilvl w:val="0"/>
          <w:numId w:val="2"/>
        </w:numPr>
        <w:pBdr/>
        <w:spacing/>
        <w:ind/>
        <w:rPr/>
      </w:pPr>
      <w:r>
        <w:t xml:space="preserve">Are exception and override actions logged?</w:t>
      </w:r>
      <w:r/>
    </w:p>
    <w:p>
      <w:pPr>
        <w:pStyle w:val="922"/>
        <w:numPr>
          <w:ilvl w:val="0"/>
          <w:numId w:val="2"/>
        </w:numPr>
        <w:pBdr/>
        <w:spacing/>
        <w:ind/>
        <w:rPr/>
      </w:pPr>
      <w:r>
        <w:t xml:space="preserve">Are test records available for current release?</w:t>
      </w:r>
      <w:bookmarkEnd w:id="160"/>
      <w:r/>
      <w:bookmarkEnd w:id="170"/>
      <w:r/>
      <w:r/>
    </w:p>
    <w:p>
      <w:pPr>
        <w:pStyle w:val="859"/>
        <w:pBdr/>
        <w:spacing/>
        <w:ind/>
        <w:rPr/>
      </w:pPr>
      <w:r/>
      <w:bookmarkStart w:id="171" w:name="__RefHeading___Toc2535_2076133143"/>
      <w:r/>
      <w:bookmarkStart w:id="172" w:name="X8681538f1249172be96e5c8766c771f6dbfb3bf"/>
      <w:r/>
      <w:bookmarkEnd w:id="171"/>
      <w:r>
        <w:t xml:space="preserve">K. Deployment, Operations, and Incident Response Playbook</w:t>
      </w:r>
      <w:r/>
    </w:p>
    <w:p>
      <w:pPr>
        <w:pStyle w:val="921"/>
        <w:pBdr/>
        <w:spacing/>
        <w:ind/>
        <w:rPr/>
      </w:pPr>
      <w:r>
        <w:t xml:space="preserve">For real organizational use, technical functionality must be paired with operational process. This section defines a practical playbook.</w:t>
      </w:r>
      <w:r/>
    </w:p>
    <w:p>
      <w:pPr>
        <w:pStyle w:val="860"/>
        <w:pBdr/>
        <w:spacing/>
        <w:ind/>
        <w:rPr/>
      </w:pPr>
      <w:r/>
      <w:bookmarkStart w:id="173" w:name="__RefHeading___Toc2537_2076133143"/>
      <w:r/>
      <w:bookmarkStart w:id="174" w:name="deployment-model"/>
      <w:r/>
      <w:bookmarkEnd w:id="173"/>
      <w:r>
        <w:t xml:space="preserve">Deployment model</w:t>
      </w:r>
      <w:r/>
    </w:p>
    <w:p>
      <w:pPr>
        <w:pStyle w:val="921"/>
        <w:pBdr/>
        <w:spacing/>
        <w:ind/>
        <w:rPr/>
      </w:pPr>
      <w:r>
        <w:t xml:space="preserve">Stage 1: laboratory deployment</w:t>
        <w:br/>
        <w:t xml:space="preserve">Deploy to controlled endpoints with monitor-only mode. Validate stability and tune pattern sets.</w:t>
      </w:r>
      <w:r/>
    </w:p>
    <w:p>
      <w:pPr>
        <w:pStyle w:val="917"/>
        <w:pBdr/>
        <w:spacing/>
        <w:ind/>
        <w:rPr/>
      </w:pPr>
      <w:r>
        <w:t xml:space="preserve">Stage 2: pilot deployment</w:t>
        <w:br/>
        <w:t xml:space="preserve">Deploy to volunteer users from high-risk functions such as finance, engineering, and support.</w:t>
      </w:r>
      <w:r/>
    </w:p>
    <w:p>
      <w:pPr>
        <w:pStyle w:val="917"/>
        <w:pBdr/>
        <w:spacing/>
        <w:ind/>
        <w:rPr/>
      </w:pPr>
      <w:r>
        <w:t xml:space="preserve">Stage 3: policy deployment</w:t>
        <w:br/>
        <w:t xml:space="preserve">Enable graduated responses by role and endpoint criticality.</w:t>
      </w:r>
      <w:r/>
    </w:p>
    <w:p>
      <w:pPr>
        <w:pStyle w:val="917"/>
        <w:pBdr/>
        <w:spacing/>
        <w:ind/>
        <w:rPr/>
      </w:pPr>
      <w:r>
        <w:t xml:space="preserve">Stage 4: continuous improvement</w:t>
        <w:br/>
        <w:t xml:space="preserve">Collect metrics, update rule packs, and refine training content.</w:t>
      </w:r>
      <w:bookmarkEnd w:id="174"/>
      <w:r/>
      <w:r/>
    </w:p>
    <w:p>
      <w:pPr>
        <w:pStyle w:val="860"/>
        <w:pBdr/>
        <w:spacing/>
        <w:ind/>
        <w:rPr/>
      </w:pPr>
      <w:r/>
      <w:bookmarkStart w:id="175" w:name="__RefHeading___Toc2539_2076133143"/>
      <w:r/>
      <w:bookmarkStart w:id="176" w:name="operational-roles"/>
      <w:r/>
      <w:bookmarkEnd w:id="175"/>
      <w:r>
        <w:t xml:space="preserve">Operational roles</w:t>
      </w:r>
      <w:r/>
    </w:p>
    <w:p>
      <w:pPr>
        <w:pStyle w:val="921"/>
        <w:pBdr/>
        <w:spacing/>
        <w:ind/>
        <w:rPr/>
      </w:pPr>
      <w:r>
        <w:t xml:space="preserve">Security engineering:</w:t>
      </w:r>
      <w:r/>
    </w:p>
    <w:p>
      <w:pPr>
        <w:pStyle w:val="922"/>
        <w:numPr>
          <w:ilvl w:val="0"/>
          <w:numId w:val="2"/>
        </w:numPr>
        <w:pBdr/>
        <w:spacing/>
        <w:ind/>
        <w:rPr/>
      </w:pPr>
      <w:r>
        <w:t xml:space="preserve">Maintain detection policies.</w:t>
      </w:r>
      <w:r/>
    </w:p>
    <w:p>
      <w:pPr>
        <w:pStyle w:val="922"/>
        <w:numPr>
          <w:ilvl w:val="0"/>
          <w:numId w:val="2"/>
        </w:numPr>
        <w:pBdr/>
        <w:spacing/>
        <w:ind/>
        <w:rPr/>
      </w:pPr>
      <w:r>
        <w:t xml:space="preserve">Review false positive and false negative reports.</w:t>
      </w:r>
      <w:r/>
    </w:p>
    <w:p>
      <w:pPr>
        <w:pStyle w:val="922"/>
        <w:numPr>
          <w:ilvl w:val="0"/>
          <w:numId w:val="2"/>
        </w:numPr>
        <w:pBdr/>
        <w:spacing/>
        <w:ind/>
        <w:rPr/>
      </w:pPr>
      <w:r>
        <w:t xml:space="preserve">Coordinate rule updates.</w:t>
      </w:r>
      <w:r/>
    </w:p>
    <w:p>
      <w:pPr>
        <w:pStyle w:val="921"/>
        <w:pBdr/>
        <w:spacing/>
        <w:ind/>
        <w:rPr/>
      </w:pPr>
      <w:r>
        <w:t xml:space="preserve">SOC analysts:</w:t>
      </w:r>
      <w:r/>
    </w:p>
    <w:p>
      <w:pPr>
        <w:pStyle w:val="922"/>
        <w:numPr>
          <w:ilvl w:val="0"/>
          <w:numId w:val="2"/>
        </w:numPr>
        <w:pBdr/>
        <w:spacing/>
        <w:ind/>
        <w:rPr/>
      </w:pPr>
      <w:r>
        <w:t xml:space="preserve">Review high-risk events.</w:t>
      </w:r>
      <w:r/>
    </w:p>
    <w:p>
      <w:pPr>
        <w:pStyle w:val="922"/>
        <w:numPr>
          <w:ilvl w:val="0"/>
          <w:numId w:val="2"/>
        </w:numPr>
        <w:pBdr/>
        <w:spacing/>
        <w:ind/>
        <w:rPr/>
      </w:pPr>
      <w:r>
        <w:t xml:space="preserve">Correlate with other endpoint and identity telemetry.</w:t>
      </w:r>
      <w:r/>
    </w:p>
    <w:p>
      <w:pPr>
        <w:pStyle w:val="922"/>
        <w:numPr>
          <w:ilvl w:val="0"/>
          <w:numId w:val="2"/>
        </w:numPr>
        <w:pBdr/>
        <w:spacing/>
        <w:ind/>
        <w:rPr/>
      </w:pPr>
      <w:r>
        <w:t xml:space="preserve">Trigger incident workflows where needed.</w:t>
      </w:r>
      <w:r/>
    </w:p>
    <w:p>
      <w:pPr>
        <w:pStyle w:val="921"/>
        <w:pBdr/>
        <w:spacing/>
        <w:ind/>
        <w:rPr/>
      </w:pPr>
      <w:r>
        <w:t xml:space="preserve">IT operations:</w:t>
      </w:r>
      <w:r/>
    </w:p>
    <w:p>
      <w:pPr>
        <w:pStyle w:val="922"/>
        <w:numPr>
          <w:ilvl w:val="0"/>
          <w:numId w:val="2"/>
        </w:numPr>
        <w:pBdr/>
        <w:spacing/>
        <w:ind/>
        <w:rPr/>
      </w:pPr>
      <w:r>
        <w:t xml:space="preserve">Ensure deployment health and software updates.</w:t>
      </w:r>
      <w:r/>
    </w:p>
    <w:p>
      <w:pPr>
        <w:pStyle w:val="922"/>
        <w:numPr>
          <w:ilvl w:val="0"/>
          <w:numId w:val="2"/>
        </w:numPr>
        <w:pBdr/>
        <w:spacing/>
        <w:ind/>
        <w:rPr/>
      </w:pPr>
      <w:r>
        <w:t xml:space="preserve">Monitor resource impact and endpoint compatibility.</w:t>
      </w:r>
      <w:r/>
    </w:p>
    <w:p>
      <w:pPr>
        <w:pStyle w:val="921"/>
        <w:pBdr/>
        <w:spacing/>
        <w:ind/>
        <w:rPr/>
      </w:pPr>
      <w:r>
        <w:t xml:space="preserve">Compliance and privacy officers:</w:t>
      </w:r>
      <w:r/>
    </w:p>
    <w:p>
      <w:pPr>
        <w:pStyle w:val="922"/>
        <w:numPr>
          <w:ilvl w:val="0"/>
          <w:numId w:val="2"/>
        </w:numPr>
        <w:pBdr/>
        <w:spacing/>
        <w:ind/>
        <w:rPr/>
      </w:pPr>
      <w:r>
        <w:t xml:space="preserve">Validate lawful basis and retention controls.</w:t>
      </w:r>
      <w:r/>
    </w:p>
    <w:p>
      <w:pPr>
        <w:pStyle w:val="922"/>
        <w:numPr>
          <w:ilvl w:val="0"/>
          <w:numId w:val="2"/>
        </w:numPr>
        <w:pBdr/>
        <w:spacing/>
        <w:ind/>
        <w:rPr/>
      </w:pPr>
      <w:r>
        <w:t xml:space="preserve">Review audit evidence and policy adherence.</w:t>
      </w:r>
      <w:r/>
    </w:p>
    <w:p>
      <w:pPr>
        <w:pStyle w:val="921"/>
        <w:pBdr/>
        <w:spacing/>
        <w:ind/>
        <w:rPr/>
      </w:pPr>
      <w:r>
        <w:t xml:space="preserve">End users:</w:t>
      </w:r>
      <w:r/>
    </w:p>
    <w:p>
      <w:pPr>
        <w:pStyle w:val="922"/>
        <w:numPr>
          <w:ilvl w:val="0"/>
          <w:numId w:val="2"/>
        </w:numPr>
        <w:pBdr/>
        <w:spacing/>
        <w:ind/>
        <w:rPr/>
      </w:pPr>
      <w:r>
        <w:t xml:space="preserve">Follow secure copy-paste guidance.</w:t>
      </w:r>
      <w:r/>
    </w:p>
    <w:p>
      <w:pPr>
        <w:pStyle w:val="922"/>
        <w:numPr>
          <w:ilvl w:val="0"/>
          <w:numId w:val="2"/>
        </w:numPr>
        <w:pBdr/>
        <w:spacing/>
        <w:ind/>
        <w:rPr/>
      </w:pPr>
      <w:r>
        <w:t xml:space="preserve">Report confusing or incorrect alerts.</w:t>
      </w:r>
      <w:bookmarkEnd w:id="176"/>
      <w:r/>
      <w:r/>
    </w:p>
    <w:p>
      <w:pPr>
        <w:pStyle w:val="860"/>
        <w:pBdr/>
        <w:spacing/>
        <w:ind/>
        <w:rPr/>
      </w:pPr>
      <w:r/>
      <w:bookmarkStart w:id="177" w:name="__RefHeading___Toc2541_2076133143"/>
      <w:r/>
      <w:bookmarkStart w:id="178" w:name="X02462038d1fe4211e3683131da89430f9e3061b"/>
      <w:r/>
      <w:bookmarkEnd w:id="177"/>
      <w:r>
        <w:t xml:space="preserve">Incident response workflow for clipboard events</w:t>
      </w:r>
      <w:r/>
    </w:p>
    <w:p>
      <w:pPr>
        <w:pStyle w:val="922"/>
        <w:numPr>
          <w:ilvl w:val="0"/>
          <w:numId w:val="101"/>
        </w:numPr>
        <w:pBdr/>
        <w:spacing/>
        <w:ind/>
        <w:rPr/>
      </w:pPr>
      <w:r>
        <w:t xml:space="preserve">Detection event generated.</w:t>
      </w:r>
      <w:r/>
    </w:p>
    <w:p>
      <w:pPr>
        <w:pStyle w:val="922"/>
        <w:numPr>
          <w:ilvl w:val="0"/>
          <w:numId w:val="1"/>
        </w:numPr>
        <w:pBdr/>
        <w:spacing/>
        <w:ind/>
        <w:rPr/>
      </w:pPr>
      <w:r>
        <w:t xml:space="preserve">Risk tier assigned and user notified where applicable.</w:t>
      </w:r>
      <w:r/>
    </w:p>
    <w:p>
      <w:pPr>
        <w:pStyle w:val="922"/>
        <w:numPr>
          <w:ilvl w:val="0"/>
          <w:numId w:val="1"/>
        </w:numPr>
        <w:pBdr/>
        <w:spacing/>
        <w:ind/>
        <w:rPr/>
      </w:pPr>
      <w:r>
        <w:t xml:space="preserve">Event triaged by SOC if severity threshold is met.</w:t>
      </w:r>
      <w:r/>
    </w:p>
    <w:p>
      <w:pPr>
        <w:pStyle w:val="922"/>
        <w:numPr>
          <w:ilvl w:val="0"/>
          <w:numId w:val="1"/>
        </w:numPr>
        <w:pBdr/>
        <w:spacing/>
        <w:ind/>
        <w:rPr/>
      </w:pPr>
      <w:r>
        <w:t xml:space="preserve">Correlation with endpoint process telemetry and identity logs.</w:t>
      </w:r>
      <w:r/>
    </w:p>
    <w:p>
      <w:pPr>
        <w:pStyle w:val="922"/>
        <w:numPr>
          <w:ilvl w:val="0"/>
          <w:numId w:val="1"/>
        </w:numPr>
        <w:pBdr/>
        <w:spacing/>
        <w:ind/>
        <w:rPr/>
      </w:pPr>
      <w:r>
        <w:t xml:space="preserve">Containment actions where compromise is suspected.</w:t>
      </w:r>
      <w:r/>
    </w:p>
    <w:p>
      <w:pPr>
        <w:pStyle w:val="922"/>
        <w:numPr>
          <w:ilvl w:val="0"/>
          <w:numId w:val="1"/>
        </w:numPr>
        <w:pBdr/>
        <w:spacing/>
        <w:ind/>
        <w:rPr/>
      </w:pPr>
      <w:r>
        <w:t xml:space="preserve">Post-incident review and control tuning.</w:t>
      </w:r>
      <w:bookmarkEnd w:id="178"/>
      <w:r/>
      <w:r/>
    </w:p>
    <w:p>
      <w:pPr>
        <w:pStyle w:val="860"/>
        <w:pBdr/>
        <w:spacing/>
        <w:ind/>
        <w:rPr/>
      </w:pPr>
      <w:r/>
      <w:bookmarkStart w:id="179" w:name="__RefHeading___Toc2543_2076133143"/>
      <w:r/>
      <w:bookmarkStart w:id="180" w:name="runbook-examples"/>
      <w:r/>
      <w:bookmarkEnd w:id="179"/>
      <w:r>
        <w:t xml:space="preserve">Runbook examples</w:t>
      </w:r>
      <w:r/>
    </w:p>
    <w:p>
      <w:pPr>
        <w:pStyle w:val="921"/>
        <w:pBdr/>
        <w:spacing/>
        <w:ind/>
        <w:rPr/>
      </w:pPr>
      <w:r>
        <w:t xml:space="preserve">Runbook A: suspected wallet replacement</w:t>
        <w:br/>
        <w:t xml:space="preserve">Collect event sequence, verify clipboard transitions, inspect endpoint for malicious processes, preserve evidence, and rotate compromised financial destinations where possible.</w:t>
      </w:r>
      <w:r/>
    </w:p>
    <w:p>
      <w:pPr>
        <w:pStyle w:val="917"/>
        <w:pBdr/>
        <w:spacing/>
        <w:ind/>
        <w:rPr/>
      </w:pPr>
      <w:r>
        <w:t xml:space="preserve">Runbook B: leaked API key</w:t>
        <w:br/>
        <w:t xml:space="preserve">Invalidate exposed key immediately, assess downstream access logs, rotate dependent credentials, and document root cause.</w:t>
      </w:r>
      <w:r/>
    </w:p>
    <w:p>
      <w:pPr>
        <w:pStyle w:val="917"/>
        <w:pBdr/>
        <w:spacing/>
        <w:ind/>
        <w:rPr/>
      </w:pPr>
      <w:r>
        <w:t xml:space="preserve">Runbook C: repeated accidental pastes</w:t>
        <w:br/>
        <w:t xml:space="preserve">Deliver targeted user awareness coaching, adjust warning language, and evaluate if destination-specific hardening is required.</w:t>
      </w:r>
      <w:bookmarkEnd w:id="180"/>
      <w:r/>
      <w:r/>
    </w:p>
    <w:p>
      <w:pPr>
        <w:pStyle w:val="860"/>
        <w:pBdr/>
        <w:spacing/>
        <w:ind/>
        <w:rPr/>
      </w:pPr>
      <w:r/>
      <w:bookmarkStart w:id="181" w:name="__RefHeading___Toc2545_2076133143"/>
      <w:r/>
      <w:bookmarkStart w:id="182" w:name="change-management-and-versioning"/>
      <w:r/>
      <w:bookmarkEnd w:id="181"/>
      <w:r>
        <w:t xml:space="preserve">Change management and versioning</w:t>
      </w:r>
      <w:r/>
    </w:p>
    <w:p>
      <w:pPr>
        <w:pStyle w:val="921"/>
        <w:pBdr/>
        <w:spacing/>
        <w:ind/>
        <w:rPr/>
      </w:pPr>
      <w:r>
        <w:t xml:space="preserve">Rule changes should follow controlled lifecycle:</w:t>
      </w:r>
      <w:r/>
    </w:p>
    <w:p>
      <w:pPr>
        <w:pStyle w:val="922"/>
        <w:numPr>
          <w:ilvl w:val="0"/>
          <w:numId w:val="2"/>
        </w:numPr>
        <w:pBdr/>
        <w:spacing/>
        <w:ind/>
        <w:rPr/>
      </w:pPr>
      <w:r>
        <w:t xml:space="preserve">Proposal with rationale and expected impact.</w:t>
      </w:r>
      <w:r/>
    </w:p>
    <w:p>
      <w:pPr>
        <w:pStyle w:val="922"/>
        <w:numPr>
          <w:ilvl w:val="0"/>
          <w:numId w:val="2"/>
        </w:numPr>
        <w:pBdr/>
        <w:spacing/>
        <w:ind/>
        <w:rPr/>
      </w:pPr>
      <w:r>
        <w:t xml:space="preserve">Staging test with baseline comparison.</w:t>
      </w:r>
      <w:r/>
    </w:p>
    <w:p>
      <w:pPr>
        <w:pStyle w:val="922"/>
        <w:numPr>
          <w:ilvl w:val="0"/>
          <w:numId w:val="2"/>
        </w:numPr>
        <w:pBdr/>
        <w:spacing/>
        <w:ind/>
        <w:rPr/>
      </w:pPr>
      <w:r>
        <w:t xml:space="preserve">Pilot release with monitoring.</w:t>
      </w:r>
      <w:r/>
    </w:p>
    <w:p>
      <w:pPr>
        <w:pStyle w:val="922"/>
        <w:numPr>
          <w:ilvl w:val="0"/>
          <w:numId w:val="2"/>
        </w:numPr>
        <w:pBdr/>
        <w:spacing/>
        <w:ind/>
        <w:rPr/>
      </w:pPr>
      <w:r>
        <w:t xml:space="preserve">Production rollout with rollback plan.</w:t>
      </w:r>
      <w:r/>
    </w:p>
    <w:p>
      <w:pPr>
        <w:pStyle w:val="922"/>
        <w:numPr>
          <w:ilvl w:val="0"/>
          <w:numId w:val="2"/>
        </w:numPr>
        <w:pBdr/>
        <w:spacing/>
        <w:ind/>
        <w:rPr/>
      </w:pPr>
      <w:r>
        <w:t xml:space="preserve">Post-release review after defined period.</w:t>
      </w:r>
      <w:bookmarkEnd w:id="182"/>
      <w:r/>
      <w:r/>
    </w:p>
    <w:p>
      <w:pPr>
        <w:pStyle w:val="860"/>
        <w:pBdr/>
        <w:spacing/>
        <w:ind/>
        <w:rPr/>
      </w:pPr>
      <w:r/>
      <w:bookmarkStart w:id="183" w:name="__RefHeading___Toc2547_2076133143"/>
      <w:r/>
      <w:bookmarkStart w:id="184" w:name="operational-kpis"/>
      <w:r/>
      <w:bookmarkEnd w:id="183"/>
      <w:r>
        <w:t xml:space="preserve">Operational KPIs</w:t>
      </w:r>
      <w:r/>
    </w:p>
    <w:p>
      <w:pPr>
        <w:pStyle w:val="922"/>
        <w:numPr>
          <w:ilvl w:val="0"/>
          <w:numId w:val="2"/>
        </w:numPr>
        <w:pBdr/>
        <w:spacing/>
        <w:ind/>
        <w:rPr/>
      </w:pPr>
      <w:r>
        <w:t xml:space="preserve">Mean time to triage high-risk clipboard event.</w:t>
      </w:r>
      <w:r/>
    </w:p>
    <w:p>
      <w:pPr>
        <w:pStyle w:val="922"/>
        <w:numPr>
          <w:ilvl w:val="0"/>
          <w:numId w:val="2"/>
        </w:numPr>
        <w:pBdr/>
        <w:spacing/>
        <w:ind/>
        <w:rPr/>
      </w:pPr>
      <w:r>
        <w:t xml:space="preserve">Percentage of high-risk alerts with analyst disposition.</w:t>
      </w:r>
      <w:r/>
    </w:p>
    <w:p>
      <w:pPr>
        <w:pStyle w:val="922"/>
        <w:numPr>
          <w:ilvl w:val="0"/>
          <w:numId w:val="2"/>
        </w:numPr>
        <w:pBdr/>
        <w:spacing/>
        <w:ind/>
        <w:rPr/>
      </w:pPr>
      <w:r>
        <w:t xml:space="preserve">Trend of repeat incidents per user group.</w:t>
      </w:r>
      <w:r/>
    </w:p>
    <w:p>
      <w:pPr>
        <w:pStyle w:val="922"/>
        <w:numPr>
          <w:ilvl w:val="0"/>
          <w:numId w:val="2"/>
        </w:numPr>
        <w:pBdr/>
        <w:spacing/>
        <w:ind/>
        <w:rPr/>
      </w:pPr>
      <w:r>
        <w:t xml:space="preserve">Rule update turnaround time from reported gap to deployed fix.</w:t>
      </w:r>
      <w:bookmarkEnd w:id="172"/>
      <w:r/>
      <w:bookmarkEnd w:id="184"/>
      <w:r/>
      <w:r/>
    </w:p>
    <w:p>
      <w:pPr>
        <w:pStyle w:val="859"/>
        <w:pBdr/>
        <w:spacing/>
        <w:ind/>
        <w:rPr/>
      </w:pPr>
      <w:r/>
      <w:bookmarkStart w:id="185" w:name="__RefHeading___Toc2549_2076133143"/>
      <w:r/>
      <w:bookmarkStart w:id="186" w:name="Xb0f042769038966fc7675943cfe684976015891"/>
      <w:r/>
      <w:bookmarkEnd w:id="185"/>
      <w:r>
        <w:t xml:space="preserve">L. Extended Recommendations and Research Agenda</w:t>
      </w:r>
      <w:r/>
    </w:p>
    <w:p>
      <w:pPr>
        <w:pStyle w:val="921"/>
        <w:pBdr/>
        <w:spacing/>
        <w:ind/>
        <w:rPr/>
      </w:pPr>
      <w:r>
        <w:t xml:space="preserve">The initial recommendations are expanded here into a structured roadmap for technical and organizational maturity.</w:t>
      </w:r>
      <w:r/>
    </w:p>
    <w:p>
      <w:pPr>
        <w:pStyle w:val="860"/>
        <w:pBdr/>
        <w:spacing/>
        <w:ind/>
        <w:rPr/>
      </w:pPr>
      <w:r/>
      <w:bookmarkStart w:id="187" w:name="__RefHeading___Toc2551_2076133143"/>
      <w:r/>
      <w:bookmarkStart w:id="188" w:name="X4f0ffa086492f0a9d866ad2cbf0416807115979"/>
      <w:r/>
      <w:bookmarkEnd w:id="187"/>
      <w:r>
        <w:t xml:space="preserve">Short-term technical priorities (0 to 3 months)</w:t>
      </w:r>
      <w:r/>
    </w:p>
    <w:p>
      <w:pPr>
        <w:pStyle w:val="922"/>
        <w:numPr>
          <w:ilvl w:val="0"/>
          <w:numId w:val="102"/>
        </w:numPr>
        <w:pBdr/>
        <w:spacing/>
        <w:ind/>
        <w:rPr/>
      </w:pPr>
      <w:r>
        <w:t xml:space="preserve">Introduce policy profiles with explicit risk-action mapping.</w:t>
      </w:r>
      <w:r/>
    </w:p>
    <w:p>
      <w:pPr>
        <w:pStyle w:val="922"/>
        <w:numPr>
          <w:ilvl w:val="0"/>
          <w:numId w:val="1"/>
        </w:numPr>
        <w:pBdr/>
        <w:spacing/>
        <w:ind/>
        <w:rPr/>
      </w:pPr>
      <w:r>
        <w:t xml:space="preserve">Add redaction mode for sensitive payload storage.</w:t>
      </w:r>
      <w:r/>
    </w:p>
    <w:p>
      <w:pPr>
        <w:pStyle w:val="922"/>
        <w:numPr>
          <w:ilvl w:val="0"/>
          <w:numId w:val="1"/>
        </w:numPr>
        <w:pBdr/>
        <w:spacing/>
        <w:ind/>
        <w:rPr/>
      </w:pPr>
      <w:r>
        <w:t xml:space="preserve">Strengthen test harness and include environment bootstrap scripts.</w:t>
      </w:r>
      <w:r/>
    </w:p>
    <w:p>
      <w:pPr>
        <w:pStyle w:val="922"/>
        <w:numPr>
          <w:ilvl w:val="0"/>
          <w:numId w:val="1"/>
        </w:numPr>
        <w:pBdr/>
        <w:spacing/>
        <w:ind/>
        <w:rPr/>
      </w:pPr>
      <w:r>
        <w:t xml:space="preserve">Add rule quality dashboards for false positive tracking.</w:t>
      </w:r>
      <w:bookmarkEnd w:id="188"/>
      <w:r/>
      <w:r/>
    </w:p>
    <w:p>
      <w:pPr>
        <w:pStyle w:val="860"/>
        <w:pBdr/>
        <w:spacing/>
        <w:ind/>
        <w:rPr/>
      </w:pPr>
      <w:r/>
      <w:bookmarkStart w:id="189" w:name="__RefHeading___Toc2553_2076133143"/>
      <w:r/>
      <w:bookmarkStart w:id="190" w:name="medium-term-priorities-3-to-9-months"/>
      <w:r/>
      <w:bookmarkEnd w:id="189"/>
      <w:r>
        <w:t xml:space="preserve">Medium-term priorities (3 to 9 months)</w:t>
      </w:r>
      <w:r/>
    </w:p>
    <w:p>
      <w:pPr>
        <w:pStyle w:val="922"/>
        <w:numPr>
          <w:ilvl w:val="0"/>
          <w:numId w:val="103"/>
        </w:numPr>
        <w:pBdr/>
        <w:spacing/>
        <w:ind/>
        <w:rPr/>
      </w:pPr>
      <w:r>
        <w:t xml:space="preserve">Build contextual classifier using destination app, source hints, and temporal features.</w:t>
      </w:r>
      <w:r/>
    </w:p>
    <w:p>
      <w:pPr>
        <w:pStyle w:val="922"/>
        <w:numPr>
          <w:ilvl w:val="0"/>
          <w:numId w:val="1"/>
        </w:numPr>
        <w:pBdr/>
        <w:spacing/>
        <w:ind/>
        <w:rPr/>
      </w:pPr>
      <w:r>
        <w:t xml:space="preserve">Implement secure local storage with encryption and access controls.</w:t>
      </w:r>
      <w:r/>
    </w:p>
    <w:p>
      <w:pPr>
        <w:pStyle w:val="922"/>
        <w:numPr>
          <w:ilvl w:val="0"/>
          <w:numId w:val="1"/>
        </w:numPr>
        <w:pBdr/>
        <w:spacing/>
        <w:ind/>
        <w:rPr/>
      </w:pPr>
      <w:r>
        <w:t xml:space="preserve">Add integration connectors for SIEM and case management systems.</w:t>
      </w:r>
      <w:r/>
    </w:p>
    <w:p>
      <w:pPr>
        <w:pStyle w:val="922"/>
        <w:numPr>
          <w:ilvl w:val="0"/>
          <w:numId w:val="1"/>
        </w:numPr>
        <w:pBdr/>
        <w:spacing/>
        <w:ind/>
        <w:rPr/>
      </w:pPr>
      <w:r>
        <w:t xml:space="preserve">Conduct pilot studies with structured usability surveys.</w:t>
      </w:r>
      <w:bookmarkEnd w:id="190"/>
      <w:r/>
      <w:r/>
    </w:p>
    <w:p>
      <w:pPr>
        <w:pStyle w:val="860"/>
        <w:pBdr/>
        <w:spacing/>
        <w:ind/>
        <w:rPr/>
      </w:pPr>
      <w:r/>
      <w:bookmarkStart w:id="191" w:name="__RefHeading___Toc2555_2076133143"/>
      <w:r/>
      <w:bookmarkStart w:id="192" w:name="long-term-priorities-9-to-18-months"/>
      <w:r/>
      <w:bookmarkEnd w:id="191"/>
      <w:r>
        <w:t xml:space="preserve">Long-term priorities (9 to 18 months)</w:t>
      </w:r>
      <w:r/>
    </w:p>
    <w:p>
      <w:pPr>
        <w:pStyle w:val="922"/>
        <w:numPr>
          <w:ilvl w:val="0"/>
          <w:numId w:val="104"/>
        </w:numPr>
        <w:pBdr/>
        <w:spacing/>
        <w:ind/>
        <w:rPr/>
      </w:pPr>
      <w:r>
        <w:t xml:space="preserve">Develop adaptive policies based on risk posture and user role.</w:t>
      </w:r>
      <w:r/>
    </w:p>
    <w:p>
      <w:pPr>
        <w:pStyle w:val="922"/>
        <w:numPr>
          <w:ilvl w:val="0"/>
          <w:numId w:val="1"/>
        </w:numPr>
        <w:pBdr/>
        <w:spacing/>
        <w:ind/>
        <w:rPr/>
      </w:pPr>
      <w:r>
        <w:t xml:space="preserve">Introduce federated analytics models that preserve endpoint privacy.</w:t>
      </w:r>
      <w:r/>
    </w:p>
    <w:p>
      <w:pPr>
        <w:pStyle w:val="922"/>
        <w:numPr>
          <w:ilvl w:val="0"/>
          <w:numId w:val="1"/>
        </w:numPr>
        <w:pBdr/>
        <w:spacing/>
        <w:ind/>
        <w:rPr/>
      </w:pPr>
      <w:r>
        <w:t xml:space="preserve">Benchmark against open adversarial scenarios and red-team simulations.</w:t>
      </w:r>
      <w:r/>
    </w:p>
    <w:p>
      <w:pPr>
        <w:pStyle w:val="922"/>
        <w:numPr>
          <w:ilvl w:val="0"/>
          <w:numId w:val="1"/>
        </w:numPr>
        <w:pBdr/>
        <w:spacing/>
        <w:ind/>
        <w:rPr/>
      </w:pPr>
      <w:r>
        <w:t xml:space="preserve">Publish anonymized evaluation methodology for reproducible research.</w:t>
      </w:r>
      <w:bookmarkEnd w:id="192"/>
      <w:r/>
      <w:r/>
    </w:p>
    <w:p>
      <w:pPr>
        <w:pStyle w:val="860"/>
        <w:pBdr/>
        <w:spacing/>
        <w:ind/>
        <w:rPr/>
      </w:pPr>
      <w:r/>
      <w:bookmarkStart w:id="193" w:name="__RefHeading___Toc2557_2076133143"/>
      <w:r/>
      <w:bookmarkStart w:id="194" w:name="research-questions-for-further-study"/>
      <w:r/>
      <w:bookmarkEnd w:id="193"/>
      <w:r>
        <w:t xml:space="preserve">Research questions for further study</w:t>
      </w:r>
      <w:r/>
    </w:p>
    <w:p>
      <w:pPr>
        <w:pStyle w:val="922"/>
        <w:numPr>
          <w:ilvl w:val="0"/>
          <w:numId w:val="2"/>
        </w:numPr>
        <w:pBdr/>
        <w:spacing/>
        <w:ind/>
        <w:rPr/>
      </w:pPr>
      <w:r>
        <w:t xml:space="preserve">Which combination of lexical, entropy, and contextual features yields best precision-recall trade-off for clipboard risk detection?</w:t>
      </w:r>
      <w:r/>
    </w:p>
    <w:p>
      <w:pPr>
        <w:pStyle w:val="922"/>
        <w:numPr>
          <w:ilvl w:val="0"/>
          <w:numId w:val="2"/>
        </w:numPr>
        <w:pBdr/>
        <w:spacing/>
        <w:ind/>
        <w:rPr/>
      </w:pPr>
      <w:r>
        <w:t xml:space="preserve">How do warning designs influence secure behavior without causing habituation?</w:t>
      </w:r>
      <w:r/>
    </w:p>
    <w:p>
      <w:pPr>
        <w:pStyle w:val="922"/>
        <w:numPr>
          <w:ilvl w:val="0"/>
          <w:numId w:val="2"/>
        </w:numPr>
        <w:pBdr/>
        <w:spacing/>
        <w:ind/>
        <w:rPr/>
      </w:pPr>
      <w:r>
        <w:t xml:space="preserve">What minimum telemetry set supports SOC utility while maintaining strict privacy principles?</w:t>
      </w:r>
      <w:r/>
    </w:p>
    <w:p>
      <w:pPr>
        <w:pStyle w:val="922"/>
        <w:numPr>
          <w:ilvl w:val="0"/>
          <w:numId w:val="2"/>
        </w:numPr>
        <w:pBdr/>
        <w:spacing/>
        <w:ind/>
        <w:rPr/>
      </w:pPr>
      <w:r>
        <w:t xml:space="preserve">How can organizations audit fairness and bias in context-aware endpoint classifiers?</w:t>
      </w:r>
      <w:bookmarkEnd w:id="194"/>
      <w:r/>
      <w:r/>
    </w:p>
    <w:p>
      <w:pPr>
        <w:pStyle w:val="860"/>
        <w:pBdr/>
        <w:spacing/>
        <w:ind/>
        <w:rPr/>
      </w:pPr>
      <w:r/>
      <w:bookmarkStart w:id="195" w:name="__RefHeading___Toc2559_2076133143"/>
      <w:r/>
      <w:bookmarkStart w:id="196" w:name="X372702046ddf11b40729dbdf3d02196bc726949"/>
      <w:r/>
      <w:bookmarkEnd w:id="195"/>
      <w:r>
        <w:t xml:space="preserve">Potential interdisciplinary collaboration</w:t>
      </w:r>
      <w:r/>
    </w:p>
    <w:p>
      <w:pPr>
        <w:pStyle w:val="921"/>
        <w:pBdr/>
        <w:spacing/>
        <w:ind/>
        <w:rPr/>
      </w:pPr>
      <w:r>
        <w:t xml:space="preserve">Security engineering alone cannot optimize this domain. Collaboration is needed with human-computer interaction researchers, legal scholars, and organizational behavior specialists to design controls that are both effective and acceptable.</w:t>
      </w:r>
      <w:bookmarkEnd w:id="186"/>
      <w:r/>
      <w:bookmarkEnd w:id="196"/>
      <w:r/>
      <w:r/>
    </w:p>
    <w:p>
      <w:pPr>
        <w:pStyle w:val="859"/>
        <w:pBdr/>
        <w:spacing/>
        <w:ind/>
        <w:rPr/>
      </w:pPr>
      <w:r/>
      <w:bookmarkStart w:id="197" w:name="__RefHeading___Toc2561_2076133143"/>
      <w:r/>
      <w:bookmarkStart w:id="198" w:name="X3873262242e921c50d7eb07e98f04fad01a445a"/>
      <w:r/>
      <w:bookmarkEnd w:id="197"/>
      <w:r>
        <w:t xml:space="preserve">M. Reflective Practice and Professional Learning</w:t>
      </w:r>
      <w:r/>
    </w:p>
    <w:p>
      <w:pPr>
        <w:pStyle w:val="921"/>
        <w:pBdr/>
        <w:spacing/>
        <w:ind/>
        <w:rPr/>
      </w:pPr>
      <w:r>
        <w:t xml:space="preserve">This project produced several technical and professional learning outcomes relevant to cybersecurity practice.</w:t>
      </w:r>
      <w:r/>
    </w:p>
    <w:p>
      <w:pPr>
        <w:pStyle w:val="860"/>
        <w:pBdr/>
        <w:spacing/>
        <w:ind/>
        <w:rPr/>
      </w:pPr>
      <w:r/>
      <w:bookmarkStart w:id="199" w:name="__RefHeading___Toc2563_2076133143"/>
      <w:r/>
      <w:bookmarkStart w:id="200" w:name="technical-learning"/>
      <w:r/>
      <w:bookmarkEnd w:id="199"/>
      <w:r>
        <w:t xml:space="preserve">Technical learning</w:t>
      </w:r>
      <w:r/>
    </w:p>
    <w:p>
      <w:pPr>
        <w:pStyle w:val="921"/>
        <w:pBdr/>
        <w:spacing/>
        <w:ind/>
        <w:rPr/>
      </w:pPr>
      <w:r>
        <w:t xml:space="preserve">The implementation reinforced the value of modular architecture </w:t>
      </w:r>
      <w:r>
        <w:t xml:space="preserve">in reducing debugging complexity and supporting iterative enhancements. It also highlighted the practical gap between algorithmic detection ideas and production constraints such as dependency variability, platform differences, and user workflow disruption.</w:t>
      </w:r>
      <w:r/>
    </w:p>
    <w:p>
      <w:pPr>
        <w:pStyle w:val="917"/>
        <w:pBdr/>
        <w:spacing/>
        <w:ind/>
        <w:rPr/>
      </w:pPr>
      <w:r>
        <w:t xml:space="preserve">Working with regex and YARA in an endpoint context demonstrated that explainable controls provide immediate operational value, but sustained effectiveness requires disciplined rule governance and evidence-led tuning.</w:t>
      </w:r>
      <w:bookmarkEnd w:id="200"/>
      <w:r/>
      <w:r/>
    </w:p>
    <w:p>
      <w:pPr>
        <w:pStyle w:val="860"/>
        <w:pBdr/>
        <w:spacing/>
        <w:ind/>
        <w:rPr/>
      </w:pPr>
      <w:r/>
      <w:bookmarkStart w:id="201" w:name="__RefHeading___Toc2565_2076133143"/>
      <w:r/>
      <w:bookmarkStart w:id="202" w:name="security-engineering-learning"/>
      <w:r/>
      <w:bookmarkEnd w:id="201"/>
      <w:r>
        <w:t xml:space="preserve">Security engineering learning</w:t>
      </w:r>
      <w:r/>
    </w:p>
    <w:p>
      <w:pPr>
        <w:pStyle w:val="921"/>
        <w:pBdr/>
        <w:spacing/>
        <w:ind/>
        <w:rPr/>
      </w:pPr>
      <w:r>
        <w:t xml:space="preserve">The project emphasized that secure tooling is not only about detection logic. It requires clear assumptions, ex</w:t>
      </w:r>
      <w:r>
        <w:t xml:space="preserve">plicit trust boundaries, and governance-aware defaults. Privacy and security objectives can conflict if data retention choices are not carefully designed. Threat modeling early in design substantially improved clarity about where controls should intervene.</w:t>
      </w:r>
      <w:bookmarkEnd w:id="202"/>
      <w:r/>
      <w:r/>
    </w:p>
    <w:p>
      <w:pPr>
        <w:pStyle w:val="860"/>
        <w:pBdr/>
        <w:spacing/>
        <w:ind/>
        <w:rPr/>
      </w:pPr>
      <w:r/>
      <w:bookmarkStart w:id="203" w:name="__RefHeading___Toc2567_2076133143"/>
      <w:r/>
      <w:bookmarkStart w:id="204" w:name="research-and-evidence-learning"/>
      <w:r/>
      <w:bookmarkEnd w:id="203"/>
      <w:r>
        <w:t xml:space="preserve">Research and evidence learning</w:t>
      </w:r>
      <w:r/>
    </w:p>
    <w:p>
      <w:pPr>
        <w:pStyle w:val="921"/>
        <w:pBdr/>
        <w:spacing/>
        <w:ind/>
        <w:rPr/>
      </w:pPr>
      <w:r>
        <w:t xml:space="preserve">Producing credible findings demanded transparent s</w:t>
      </w:r>
      <w:r>
        <w:t xml:space="preserve">tatements about limitations and confidence boundaries. Passing tests are necessary evidence but not sufficient for broad claims. This reinforced the importance of evaluation design, reproducibility, and clearly scoped conclusions in cybersecurity projects.</w:t>
      </w:r>
      <w:bookmarkEnd w:id="204"/>
      <w:r/>
      <w:r/>
    </w:p>
    <w:p>
      <w:pPr>
        <w:pStyle w:val="860"/>
        <w:pBdr/>
        <w:spacing/>
        <w:ind/>
        <w:rPr/>
      </w:pPr>
      <w:r/>
      <w:bookmarkStart w:id="205" w:name="__RefHeading___Toc2569_2076133143"/>
      <w:r/>
      <w:bookmarkStart w:id="206" w:name="communication-and-stakeholder-learning"/>
      <w:r/>
      <w:bookmarkEnd w:id="205"/>
      <w:r>
        <w:t xml:space="preserve">Communication and stakeholder learning</w:t>
      </w:r>
      <w:r/>
    </w:p>
    <w:p>
      <w:pPr>
        <w:pStyle w:val="921"/>
        <w:pBdr/>
        <w:spacing/>
        <w:ind/>
        <w:rPr/>
      </w:pPr>
      <w:r>
        <w:t xml:space="preserve">Cybersecurity solutions must be explainable to technical and non-technical stakeholders. Translating implementation details into risk, compliance, and operational language improved the report’s utility for supervisors, reviewers, and potential adopters.</w:t>
      </w:r>
      <w:bookmarkEnd w:id="206"/>
      <w:r/>
      <w:r/>
    </w:p>
    <w:p>
      <w:pPr>
        <w:pStyle w:val="860"/>
        <w:pBdr/>
        <w:spacing/>
        <w:ind/>
        <w:rPr/>
      </w:pPr>
      <w:r/>
      <w:bookmarkStart w:id="207" w:name="__RefHeading___Toc2571_2076133143"/>
      <w:r/>
      <w:bookmarkStart w:id="208" w:name="ethical-reflection"/>
      <w:r/>
      <w:bookmarkEnd w:id="207"/>
      <w:r>
        <w:t xml:space="preserve">Ethical reflection</w:t>
      </w:r>
      <w:r/>
    </w:p>
    <w:p>
      <w:pPr>
        <w:pStyle w:val="921"/>
        <w:pBdr/>
        <w:spacing/>
        <w:ind/>
        <w:rPr/>
      </w:pPr>
      <w:r>
        <w:t xml:space="preserve">Monitoring to</w:t>
      </w:r>
      <w:r>
        <w:t xml:space="preserve">ols can protect users but also create surveillance concerns. Designing with consent, minimization, and user agency is essential. The project experience strengthened awareness that ethical design is part of technical quality, not an optional appendix topic.</w:t>
      </w:r>
      <w:bookmarkEnd w:id="208"/>
      <w:r/>
      <w:r/>
    </w:p>
    <w:p>
      <w:pPr>
        <w:pStyle w:val="860"/>
        <w:pBdr/>
        <w:spacing/>
        <w:ind/>
        <w:rPr/>
      </w:pPr>
      <w:r/>
      <w:bookmarkStart w:id="209" w:name="__RefHeading___Toc2573_2076133143"/>
      <w:r/>
      <w:bookmarkStart w:id="210" w:name="professional-development-outcomes"/>
      <w:r/>
      <w:bookmarkEnd w:id="209"/>
      <w:r>
        <w:t xml:space="preserve">Professional development outcomes</w:t>
      </w:r>
      <w:r/>
    </w:p>
    <w:p>
      <w:pPr>
        <w:pStyle w:val="921"/>
        <w:pBdr/>
        <w:spacing/>
        <w:ind/>
        <w:rPr/>
      </w:pPr>
      <w:r>
        <w:t xml:space="preserve">The project improved skills in:</w:t>
      </w:r>
      <w:r/>
    </w:p>
    <w:p>
      <w:pPr>
        <w:pStyle w:val="922"/>
        <w:numPr>
          <w:ilvl w:val="0"/>
          <w:numId w:val="2"/>
        </w:numPr>
        <w:pBdr/>
        <w:spacing/>
        <w:ind/>
        <w:rPr/>
      </w:pPr>
      <w:r>
        <w:t xml:space="preserve">Python secure coding and modular design.</w:t>
      </w:r>
      <w:r/>
    </w:p>
    <w:p>
      <w:pPr>
        <w:pStyle w:val="922"/>
        <w:numPr>
          <w:ilvl w:val="0"/>
          <w:numId w:val="2"/>
        </w:numPr>
        <w:pBdr/>
        <w:spacing/>
        <w:ind/>
        <w:rPr/>
      </w:pPr>
      <w:r>
        <w:t xml:space="preserve">Threat modeling and risk communication.</w:t>
      </w:r>
      <w:r/>
    </w:p>
    <w:p>
      <w:pPr>
        <w:pStyle w:val="922"/>
        <w:numPr>
          <w:ilvl w:val="0"/>
          <w:numId w:val="2"/>
        </w:numPr>
        <w:pBdr/>
        <w:spacing/>
        <w:ind/>
        <w:rPr/>
      </w:pPr>
      <w:r>
        <w:t xml:space="preserve">Evidence-based reporting and critical literature synthesis.</w:t>
      </w:r>
      <w:r/>
    </w:p>
    <w:p>
      <w:pPr>
        <w:pStyle w:val="922"/>
        <w:numPr>
          <w:ilvl w:val="0"/>
          <w:numId w:val="2"/>
        </w:numPr>
        <w:pBdr/>
        <w:spacing/>
        <w:ind/>
        <w:rPr/>
      </w:pPr>
      <w:r>
        <w:t xml:space="preserve">Balancing technical controls with legal and ethical constraints.</w:t>
      </w:r>
      <w:r/>
    </w:p>
    <w:p>
      <w:pPr>
        <w:pStyle w:val="921"/>
        <w:pBdr/>
        <w:spacing/>
        <w:ind/>
        <w:rPr/>
      </w:pPr>
      <w:r>
        <w:t xml:space="preserve">These competencies are directly transferable to SOC engineering, product security, and governance-oriented cybersecurity roles.</w:t>
      </w:r>
      <w:bookmarkEnd w:id="198"/>
      <w:r/>
      <w:bookmarkEnd w:id="210"/>
      <w:r/>
      <w:r/>
    </w:p>
    <w:p>
      <w:pPr>
        <w:pStyle w:val="859"/>
        <w:pBdr/>
        <w:spacing/>
        <w:ind/>
        <w:rPr/>
      </w:pPr>
      <w:r/>
      <w:bookmarkStart w:id="211" w:name="__RefHeading___Toc2575_2076133143"/>
      <w:r/>
      <w:bookmarkStart w:id="212" w:name="X7bd608fab8d2a75a2c2e69c78e9e7d6b42d0ca9"/>
      <w:r/>
      <w:bookmarkEnd w:id="211"/>
      <w:r>
        <w:t xml:space="preserve">N. Expanded Scenario Catalogue and Security Test Narratives</w:t>
      </w:r>
      <w:r/>
    </w:p>
    <w:p>
      <w:pPr>
        <w:pStyle w:val="921"/>
        <w:pBdr/>
        <w:spacing/>
        <w:ind/>
        <w:rPr/>
      </w:pPr>
      <w:r>
        <w:t xml:space="preserve">This section presents a broad scenario catalogue intended to bridge the gap between abstract controls and concrete operational behavior. Each narrative is written to support academic evaluation, reproducibility, and future benchmarking.</w:t>
      </w:r>
      <w:r/>
    </w:p>
    <w:p>
      <w:pPr>
        <w:pStyle w:val="860"/>
        <w:pBdr/>
        <w:spacing/>
        <w:ind/>
        <w:rPr/>
      </w:pPr>
      <w:r/>
      <w:bookmarkStart w:id="213" w:name="__RefHeading___Toc2577_2076133143"/>
      <w:r/>
      <w:bookmarkStart w:id="214" w:name="X56beba79fc4bee97fc8045068eab33095c74e31"/>
      <w:r/>
      <w:bookmarkEnd w:id="213"/>
      <w:r>
        <w:t xml:space="preserve">Scenario Group 1: Financial Workflow Protection</w:t>
      </w:r>
      <w:r/>
    </w:p>
    <w:p>
      <w:pPr>
        <w:pStyle w:val="921"/>
        <w:pBdr/>
        <w:spacing/>
        <w:ind/>
        <w:rPr/>
      </w:pPr>
      <w:r>
        <w:t xml:space="preserve">Scenario N1: Cryptocurrency transaction validation</w:t>
        <w:br/>
        <w:t xml:space="preserve">Context: A user copies a wallet destination while moving funds between accounts.</w:t>
        <w:br/>
        <w:t xml:space="preserve">Threat: Clipboard replacement by malware.</w:t>
        <w:br/>
        <w:t xml:space="preserve">Ex</w:t>
      </w:r>
      <w:r>
        <w:t xml:space="preserve">pected control behavior: wallet-like pattern is recognized as high criticality; user receives clear warning before final transfer action.</w:t>
        <w:br/>
        <w:t xml:space="preserve">Evidence to collect: timestamps for original copy and subsequent changes, detection category, and user action outcome.</w:t>
      </w:r>
      <w:r/>
    </w:p>
    <w:p>
      <w:pPr>
        <w:pStyle w:val="917"/>
        <w:pBdr/>
        <w:spacing/>
        <w:ind/>
        <w:rPr/>
      </w:pPr>
      <w:r>
        <w:t xml:space="preserve">Scenario N2: Payment card number handling during support interaction</w:t>
        <w:br/>
        <w:t xml:space="preserve">Context: Helpdesk operator receives card-like sequence in a secure internal channel and copies it for temporary va</w:t>
      </w:r>
      <w:r>
        <w:t xml:space="preserve">lidation.</w:t>
        <w:br/>
        <w:t xml:space="preserve">Threat: Accidental paste into external ticket comments.</w:t>
        <w:br/>
        <w:t xml:space="preserve">Expected control behavior: high-risk detection with warning and audit entry.</w:t>
        <w:br/>
        <w:t xml:space="preserve">Discussion: This scenario tests whether controls reduce accidental disclosure in high-pressure service workflows.</w:t>
      </w:r>
      <w:r/>
    </w:p>
    <w:p>
      <w:pPr>
        <w:pStyle w:val="917"/>
        <w:pBdr/>
        <w:spacing/>
        <w:ind/>
        <w:rPr/>
      </w:pPr>
      <w:r>
        <w:t xml:space="preserve">Scenario N3: Invoice reference confusion versus credit card false positive</w:t>
        <w:br/>
        <w:t xml:space="preserve">Context: Accounting team handles long numeric invoice identifiers.</w:t>
        <w:br/>
        <w:t xml:space="preserve">Threat: false positiv</w:t>
      </w:r>
      <w:r>
        <w:t xml:space="preserve">es causing alert fatigue.</w:t>
        <w:br/>
        <w:t xml:space="preserve">Expected control behavior: alert appears initially; policy tuning should later reduce repetitive false positives through exception profiles.</w:t>
        <w:br/>
        <w:t xml:space="preserve">Evaluation implication: demonstrates necessity of feedback loops and domain-aware tuning.</w:t>
      </w:r>
      <w:bookmarkEnd w:id="214"/>
      <w:r/>
      <w:r/>
    </w:p>
    <w:p>
      <w:pPr>
        <w:pStyle w:val="860"/>
        <w:pBdr/>
        <w:spacing/>
        <w:ind/>
        <w:rPr/>
      </w:pPr>
      <w:r/>
      <w:bookmarkStart w:id="215" w:name="__RefHeading___Toc2579_2076133143"/>
      <w:r/>
      <w:bookmarkStart w:id="216" w:name="X9ddf0d1802af4f70c12330302572a01f38b8488"/>
      <w:r/>
      <w:bookmarkEnd w:id="215"/>
      <w:r>
        <w:t xml:space="preserve">Scenario Group 2: Developer and Infrastructure Secret Safety</w:t>
      </w:r>
      <w:r/>
    </w:p>
    <w:p>
      <w:pPr>
        <w:pStyle w:val="921"/>
        <w:pBdr/>
        <w:spacing/>
        <w:ind/>
        <w:rPr/>
      </w:pPr>
      <w:r>
        <w:t xml:space="preserve">Scenario N4: API key copied from environment file</w:t>
        <w:br/>
        <w:t xml:space="preserve">Context: Developer </w:t>
      </w:r>
      <w:r>
        <w:t xml:space="preserve">troubleshooting local deployment.</w:t>
        <w:br/>
        <w:t xml:space="preserve">Threat: secret leakage into chat or terminal snippets.</w:t>
        <w:br/>
        <w:t xml:space="preserve">Expected control behavior: key-like pattern triggers high severity classification and visible warning.</w:t>
        <w:br/>
        <w:t xml:space="preserve">Operational action: immediate key rotation if leak is confirmed.</w:t>
      </w:r>
      <w:r/>
    </w:p>
    <w:p>
      <w:pPr>
        <w:pStyle w:val="917"/>
        <w:pBdr/>
        <w:spacing/>
        <w:ind/>
        <w:rPr/>
      </w:pPr>
      <w:r>
        <w:t xml:space="preserve">Scenario N5: JWT copie</w:t>
      </w:r>
      <w:r>
        <w:t xml:space="preserve">d for token debugging</w:t>
        <w:br/>
        <w:t xml:space="preserve">Context: Engineer copies signed token for local decode and validation.</w:t>
        <w:br/>
        <w:t xml:space="preserve">Threat: token exposure in shared channels.</w:t>
        <w:br/>
        <w:t xml:space="preserve">Expected control behavior: medium-to-high warning based on rule confidence and destination context in future iterations.</w:t>
      </w:r>
      <w:r/>
    </w:p>
    <w:p>
      <w:pPr>
        <w:pStyle w:val="917"/>
        <w:pBdr/>
        <w:spacing/>
        <w:ind/>
        <w:rPr/>
      </w:pPr>
      <w:r>
        <w:t xml:space="preserve">Scenario N6: Entropy-triggered unknown secret</w:t>
        <w:br/>
        <w:t xml:space="preserve">Context: Random-looking alphanum</w:t>
      </w:r>
      <w:r>
        <w:t xml:space="preserve">eric value copied from build logs.</w:t>
        <w:br/>
        <w:t xml:space="preserve">Threat: unknown credential format not covered by explicit signatures.</w:t>
        <w:br/>
        <w:t xml:space="preserve">Expected control behavior: entropy heuristic elevates risk for manual review.</w:t>
        <w:br/>
        <w:t xml:space="preserve">Learning objective: assess value and noise profile of heuristic controls.</w:t>
      </w:r>
      <w:bookmarkEnd w:id="216"/>
      <w:r/>
      <w:r/>
    </w:p>
    <w:p>
      <w:pPr>
        <w:pStyle w:val="860"/>
        <w:pBdr/>
        <w:spacing/>
        <w:ind/>
        <w:rPr/>
      </w:pPr>
      <w:r/>
      <w:bookmarkStart w:id="217" w:name="__RefHeading___Toc2581_2076133143"/>
      <w:r/>
      <w:bookmarkStart w:id="218" w:name="X5497f32b757062a01fda8f1f19ce71276dd4c12"/>
      <w:r/>
      <w:bookmarkEnd w:id="217"/>
      <w:r>
        <w:t xml:space="preserve">Scenario Group 3: Identity and Authentication Flows</w:t>
      </w:r>
      <w:r/>
    </w:p>
    <w:p>
      <w:pPr>
        <w:pStyle w:val="921"/>
        <w:pBdr/>
        <w:spacing/>
        <w:ind/>
        <w:rPr/>
      </w:pPr>
      <w:r>
        <w:t xml:space="preserve">Scenario N7: OTP relay risk</w:t>
        <w:br/>
        <w:t xml:space="preserve">Context: U</w:t>
      </w:r>
      <w:r>
        <w:t xml:space="preserve">ser copies one-time code from trusted app to complete login.</w:t>
        <w:br/>
        <w:t xml:space="preserve">Threat: spyware interception during short validity window.</w:t>
        <w:br/>
        <w:t xml:space="preserve">Expected control behavior: detection and warning for short numeric OTP pattern, with optional policy to reduce retention of such values.</w:t>
      </w:r>
      <w:r/>
    </w:p>
    <w:p>
      <w:pPr>
        <w:pStyle w:val="917"/>
        <w:pBdr/>
        <w:spacing/>
        <w:ind/>
        <w:rPr/>
      </w:pPr>
      <w:r>
        <w:t xml:space="preserve">Scenario N8: Passwor</w:t>
      </w:r>
      <w:r>
        <w:t xml:space="preserve">d manager temporary copy</w:t>
        <w:br/>
        <w:t xml:space="preserve">Context: User copies generated password for account setup.</w:t>
        <w:br/>
        <w:t xml:space="preserve">Threat: accidental paste into communication tools.</w:t>
        <w:br/>
        <w:t xml:space="preserve">Expected control behavior: strong warning and optional automatic clipboard clearing after short timeout in hardened mode.</w:t>
      </w:r>
      <w:r/>
    </w:p>
    <w:p>
      <w:pPr>
        <w:pStyle w:val="917"/>
        <w:pBdr/>
        <w:spacing/>
        <w:ind/>
        <w:rPr/>
      </w:pPr>
      <w:r>
        <w:t xml:space="preserve">Scenario N9: Account recovery code transfer</w:t>
        <w:br/>
        <w:t xml:space="preserve">Context: User copies backup code.</w:t>
        <w:br/>
        <w:t xml:space="preserve">Threat: long-term compromise if exposed.</w:t>
        <w:br/>
        <w:t xml:space="preserve">Expected control behavior: classify as sensitive credential artifact and preserve an audit record with minimization policy.</w:t>
      </w:r>
      <w:bookmarkEnd w:id="218"/>
      <w:r/>
      <w:r/>
    </w:p>
    <w:p>
      <w:pPr>
        <w:pStyle w:val="860"/>
        <w:pBdr/>
        <w:spacing/>
        <w:ind/>
        <w:rPr/>
      </w:pPr>
      <w:r/>
      <w:bookmarkStart w:id="219" w:name="__RefHeading___Toc2583_2076133143"/>
      <w:r/>
      <w:bookmarkStart w:id="220" w:name="X586163340675bcea3e06ae463e927e464281eba"/>
      <w:r/>
      <w:bookmarkEnd w:id="219"/>
      <w:r>
        <w:t xml:space="preserve">Scenario Group 4: Internal Data and Privacy Protection</w:t>
      </w:r>
      <w:r/>
    </w:p>
    <w:p>
      <w:pPr>
        <w:pStyle w:val="921"/>
        <w:pBdr/>
        <w:spacing/>
        <w:ind/>
        <w:rPr/>
      </w:pPr>
      <w:r>
        <w:t xml:space="preserve">Scenario N10: Customer profile fields copied between systems</w:t>
        <w:br/>
      </w:r>
      <w:r>
        <w:t xml:space="preserve">Context: Support operator copies contact records across approved internal tools.</w:t>
        <w:br/>
        <w:t xml:space="preserve">Threat: accidental copy into unapproved destinations.</w:t>
        <w:br/>
        <w:t xml:space="preserve">Expected control behavior: notify user and encourage destination verification; produce audit trace for compliance review.</w:t>
      </w:r>
      <w:r/>
    </w:p>
    <w:p>
      <w:pPr>
        <w:pStyle w:val="917"/>
        <w:pBdr/>
        <w:spacing/>
        <w:ind/>
        <w:rPr/>
      </w:pPr>
      <w:r>
        <w:t xml:space="preserve">Scenario N11: Internal URL and IP transfer</w:t>
        <w:br/>
        <w:t xml:space="preserve">Context: Operations engineer shares internal endpoint during incident bridge.</w:t>
        <w:br/>
        <w:t xml:space="preserve">Threat: oversharing in external channels.</w:t>
        <w:br/>
        <w:t xml:space="preserve">Expected control behavior: low-to-medium category notification with educational prompt.</w:t>
      </w:r>
      <w:r/>
    </w:p>
    <w:p>
      <w:pPr>
        <w:pStyle w:val="917"/>
        <w:pBdr/>
        <w:spacing/>
        <w:ind/>
        <w:rPr/>
      </w:pPr>
      <w:r>
        <w:t xml:space="preserve">Scenario N12: Sensitive meeting notes copied to personal application</w:t>
        <w:br/>
        <w:t xml:space="preserve">Co</w:t>
      </w:r>
      <w:r>
        <w:t xml:space="preserve">ntext: Remote worker moves text between enterprise and personal tools.</w:t>
        <w:br/>
        <w:t xml:space="preserve">Threat: policy breach and data governance violation.</w:t>
        <w:br/>
        <w:t xml:space="preserve">Expected control behavior: context-aware policy in future version should enforce stronger warning based on app class and data class.</w:t>
      </w:r>
      <w:bookmarkEnd w:id="220"/>
      <w:r/>
      <w:r/>
    </w:p>
    <w:p>
      <w:pPr>
        <w:pStyle w:val="860"/>
        <w:pBdr/>
        <w:spacing/>
        <w:ind/>
        <w:rPr/>
      </w:pPr>
      <w:r/>
      <w:bookmarkStart w:id="221" w:name="__RefHeading___Toc2585_2076133143"/>
      <w:r/>
      <w:bookmarkStart w:id="222" w:name="Xf6bc80c0e583117311373e06062d49d2b528dc7"/>
      <w:r/>
      <w:bookmarkEnd w:id="221"/>
      <w:r>
        <w:t xml:space="preserve">Scenario Group 5: Adversarial and Evasion-Oriented Testing</w:t>
      </w:r>
      <w:r/>
    </w:p>
    <w:p>
      <w:pPr>
        <w:pStyle w:val="921"/>
        <w:pBdr/>
        <w:spacing/>
        <w:ind/>
        <w:rPr/>
      </w:pPr>
      <w:r>
        <w:t xml:space="preserve">Scenario N13: Obfuscated API key with separators</w:t>
        <w:br/>
        <w:t xml:space="preserve">Context: adversary or benign process inserts separators to bypass naive regex.</w:t>
        <w:br/>
        <w:t xml:space="preserve">Threat: detector evasion.</w:t>
        <w:br/>
        <w:t xml:space="preserve">Expected behavior: improved normalization and robust pattern variants should preserve detection.</w:t>
      </w:r>
      <w:r/>
    </w:p>
    <w:p>
      <w:pPr>
        <w:pStyle w:val="917"/>
        <w:pBdr/>
        <w:spacing/>
        <w:ind/>
        <w:rPr/>
      </w:pPr>
      <w:r>
        <w:t xml:space="preserve">Scenario N14: Base64-encoded secret </w:t>
      </w:r>
      <w:r>
        <w:t xml:space="preserve">payload</w:t>
        <w:br/>
        <w:t xml:space="preserve">Context: secret value appears encoded in transport-safe format.</w:t>
        <w:br/>
        <w:t xml:space="preserve">Threat: low visibility to simple signatures.</w:t>
        <w:br/>
        <w:t xml:space="preserve">Expected behavior: entropy and contextual indicators may trigger suspicion; full solution requires richer decoding-aware analysis pipeline.</w:t>
      </w:r>
      <w:r/>
    </w:p>
    <w:p>
      <w:pPr>
        <w:pStyle w:val="917"/>
        <w:pBdr/>
        <w:spacing/>
        <w:ind/>
        <w:rPr/>
      </w:pPr>
      <w:r>
        <w:t xml:space="preserve">Scenario N15: Rapid clipboard churn attack</w:t>
        <w:br/>
        <w:t xml:space="preserve">Context: malicious process updates clipboard repeatedly to evade user notice.</w:t>
        <w:br/>
        <w:t xml:space="preserve">Threat: timing race conditions.</w:t>
        <w:br/>
        <w:t xml:space="preserve">Expected behavior: monitor should preserve event trace and optionally detect abnormal change frequency.</w:t>
      </w:r>
      <w:bookmarkEnd w:id="222"/>
      <w:r/>
      <w:r/>
    </w:p>
    <w:p>
      <w:pPr>
        <w:pStyle w:val="860"/>
        <w:pBdr/>
        <w:spacing/>
        <w:ind/>
        <w:rPr/>
      </w:pPr>
      <w:r/>
      <w:bookmarkStart w:id="223" w:name="__RefHeading___Toc2587_2076133143"/>
      <w:r/>
      <w:bookmarkStart w:id="224" w:name="scenario-execution-protocol"/>
      <w:r/>
      <w:bookmarkEnd w:id="223"/>
      <w:r>
        <w:t xml:space="preserve">Scenario execution protocol</w:t>
      </w:r>
      <w:r/>
    </w:p>
    <w:p>
      <w:pPr>
        <w:pStyle w:val="921"/>
        <w:pBdr/>
        <w:spacing/>
        <w:ind/>
        <w:rPr/>
      </w:pPr>
      <w:r>
        <w:t xml:space="preserve">For each scenario, execute the following protocol:</w:t>
      </w:r>
      <w:r/>
    </w:p>
    <w:p>
      <w:pPr>
        <w:pStyle w:val="922"/>
        <w:numPr>
          <w:ilvl w:val="0"/>
          <w:numId w:val="105"/>
        </w:numPr>
        <w:pBdr/>
        <w:spacing/>
        <w:ind/>
        <w:rPr/>
      </w:pPr>
      <w:r>
        <w:t xml:space="preserve">Define preconditions and endpoint environment details.</w:t>
      </w:r>
      <w:r/>
    </w:p>
    <w:p>
      <w:pPr>
        <w:pStyle w:val="922"/>
        <w:numPr>
          <w:ilvl w:val="0"/>
          <w:numId w:val="1"/>
        </w:numPr>
        <w:pBdr/>
        <w:spacing/>
        <w:ind/>
        <w:rPr/>
      </w:pPr>
      <w:r>
        <w:t xml:space="preserve">Run baseline session without intervention and record observations.</w:t>
      </w:r>
      <w:r/>
    </w:p>
    <w:p>
      <w:pPr>
        <w:pStyle w:val="922"/>
        <w:numPr>
          <w:ilvl w:val="0"/>
          <w:numId w:val="1"/>
        </w:numPr>
        <w:pBdr/>
        <w:spacing/>
        <w:ind/>
        <w:rPr/>
      </w:pPr>
      <w:r>
        <w:t xml:space="preserve">Run controlled session with active monitor and same payload.</w:t>
      </w:r>
      <w:r/>
    </w:p>
    <w:p>
      <w:pPr>
        <w:pStyle w:val="922"/>
        <w:numPr>
          <w:ilvl w:val="0"/>
          <w:numId w:val="1"/>
        </w:numPr>
        <w:pBdr/>
        <w:spacing/>
        <w:ind/>
        <w:rPr/>
      </w:pPr>
      <w:r>
        <w:t xml:space="preserve">Compare detection outcomes, user actions, and persistence records.</w:t>
      </w:r>
      <w:r/>
    </w:p>
    <w:p>
      <w:pPr>
        <w:pStyle w:val="922"/>
        <w:numPr>
          <w:ilvl w:val="0"/>
          <w:numId w:val="1"/>
        </w:numPr>
        <w:pBdr/>
        <w:spacing/>
        <w:ind/>
        <w:rPr/>
      </w:pPr>
      <w:r>
        <w:t xml:space="preserve">Document deviations and propose tuning actions.</w:t>
      </w:r>
      <w:r/>
    </w:p>
    <w:p>
      <w:pPr>
        <w:pStyle w:val="921"/>
        <w:pBdr/>
        <w:spacing/>
        <w:ind/>
        <w:rPr/>
      </w:pPr>
      <w:r>
        <w:t xml:space="preserve">This protocol encourages repeatable, evidence-rich testing and supports semester-over-semester improvements.</w:t>
      </w:r>
      <w:bookmarkEnd w:id="212"/>
      <w:r/>
      <w:bookmarkEnd w:id="224"/>
      <w:r/>
      <w:r/>
    </w:p>
    <w:p>
      <w:pPr>
        <w:pStyle w:val="859"/>
        <w:pBdr/>
        <w:spacing/>
        <w:ind/>
        <w:rPr/>
      </w:pPr>
      <w:r/>
      <w:bookmarkStart w:id="225" w:name="__RefHeading___Toc2589_2076133143"/>
      <w:r/>
      <w:bookmarkStart w:id="226" w:name="Xbecb6552fbcb6e6395786835add89469a2a4016"/>
      <w:r/>
      <w:bookmarkEnd w:id="225"/>
      <w:r>
        <w:t xml:space="preserve">O. Data Governance, Privacy Engineering, and Retention Model</w:t>
      </w:r>
      <w:r/>
    </w:p>
    <w:p>
      <w:pPr>
        <w:pStyle w:val="921"/>
        <w:pBdr/>
        <w:spacing/>
        <w:ind/>
        <w:rPr/>
      </w:pPr>
      <w:r>
        <w:t xml:space="preserve">Clipboard monitoring creates direct obligations for responsible data governance. This section defines a privacy-engineering model suitable for security tooling that may process personal and confidential information.</w:t>
      </w:r>
      <w:r/>
    </w:p>
    <w:p>
      <w:pPr>
        <w:pStyle w:val="860"/>
        <w:pBdr/>
        <w:spacing/>
        <w:ind/>
        <w:rPr/>
      </w:pPr>
      <w:r/>
      <w:bookmarkStart w:id="227" w:name="__RefHeading___Toc2591_2076133143"/>
      <w:r/>
      <w:bookmarkStart w:id="228" w:name="X20c146b43c7e4ce1442d4709584516c440d7d79"/>
      <w:r/>
      <w:bookmarkEnd w:id="227"/>
      <w:r>
        <w:t xml:space="preserve">Governance principles for endpoint clipboard data</w:t>
      </w:r>
      <w:r/>
    </w:p>
    <w:p>
      <w:pPr>
        <w:pStyle w:val="921"/>
        <w:pBdr/>
        <w:spacing/>
        <w:ind/>
        <w:rPr/>
      </w:pPr>
      <w:r>
        <w:t xml:space="preserve">Principle O1: necessity</w:t>
        <w:br/>
        <w:t xml:space="preserve">Collect only what is required to achieve security objective.</w:t>
      </w:r>
      <w:r/>
    </w:p>
    <w:p>
      <w:pPr>
        <w:pStyle w:val="917"/>
        <w:pBdr/>
        <w:spacing/>
        <w:ind/>
        <w:rPr/>
      </w:pPr>
      <w:r>
        <w:t xml:space="preserve">Principle O2: proportionality</w:t>
        <w:br/>
        <w:t xml:space="preserve">Use the least intrusive control that still reduces meaningful risk.</w:t>
      </w:r>
      <w:r/>
    </w:p>
    <w:p>
      <w:pPr>
        <w:pStyle w:val="917"/>
        <w:pBdr/>
        <w:spacing/>
        <w:ind/>
        <w:rPr/>
      </w:pPr>
      <w:r>
        <w:t xml:space="preserve">Principle O3: transparency</w:t>
        <w:br/>
        <w:t xml:space="preserve">Explain monitoring behavior, data use, and retention in understandable language.</w:t>
      </w:r>
      <w:r/>
    </w:p>
    <w:p>
      <w:pPr>
        <w:pStyle w:val="917"/>
        <w:pBdr/>
        <w:spacing/>
        <w:ind/>
        <w:rPr/>
      </w:pPr>
      <w:r>
        <w:t xml:space="preserve">Principle O4: control and recourse</w:t>
        <w:br/>
        <w:t xml:space="preserve">Provide users and administrators with clear control points, exception pathways, and review channels.</w:t>
      </w:r>
      <w:r/>
    </w:p>
    <w:p>
      <w:pPr>
        <w:pStyle w:val="917"/>
        <w:pBdr/>
        <w:spacing/>
        <w:ind/>
        <w:rPr/>
      </w:pPr>
      <w:r>
        <w:t xml:space="preserve">Principle O5: lifecycle discipline</w:t>
        <w:br/>
        <w:t xml:space="preserve">Define creation, storage, access, export, retention, and deletion phases for event data.</w:t>
      </w:r>
      <w:bookmarkEnd w:id="228"/>
      <w:r/>
      <w:r/>
    </w:p>
    <w:p>
      <w:pPr>
        <w:pStyle w:val="860"/>
        <w:pBdr/>
        <w:spacing/>
        <w:ind/>
        <w:rPr/>
      </w:pPr>
      <w:r/>
      <w:bookmarkStart w:id="229" w:name="__RefHeading___Toc2593_2076133143"/>
      <w:r/>
      <w:bookmarkStart w:id="230" w:name="X53e665300ffdc57dd7a8437aa7c8845f23cd4e0"/>
      <w:r/>
      <w:bookmarkEnd w:id="229"/>
      <w:r>
        <w:t xml:space="preserve">Data classification for stored clipboard events</w:t>
      </w:r>
      <w:r/>
    </w:p>
    <w:p>
      <w:pPr>
        <w:pStyle w:val="921"/>
        <w:pBdr/>
        <w:spacing/>
        <w:ind/>
        <w:rPr/>
      </w:pPr>
      <w:r>
        <w:t xml:space="preserve">Class A: metadata-only event</w:t>
        <w:br/>
        <w:t xml:space="preserve">Contains timestamp, category, and confidence but no raw content.</w:t>
      </w:r>
      <w:r/>
    </w:p>
    <w:p>
      <w:pPr>
        <w:pStyle w:val="917"/>
        <w:pBdr/>
        <w:spacing/>
        <w:ind/>
        <w:rPr/>
      </w:pPr>
      <w:r>
        <w:t xml:space="preserve">Class B: partially redacted content</w:t>
        <w:br/>
        <w:t xml:space="preserve">Contains masked values for analytical utility while minimizing exposure.</w:t>
      </w:r>
      <w:r/>
    </w:p>
    <w:p>
      <w:pPr>
        <w:pStyle w:val="917"/>
        <w:pBdr/>
        <w:spacing/>
        <w:ind/>
        <w:rPr/>
      </w:pPr>
      <w:r>
        <w:t xml:space="preserve">Class C: full content (restricted)</w:t>
        <w:br/>
        <w:t xml:space="preserve">Contains original content for short-term forensic use under strict access controls.</w:t>
      </w:r>
      <w:r/>
    </w:p>
    <w:p>
      <w:pPr>
        <w:pStyle w:val="917"/>
        <w:pBdr/>
        <w:spacing/>
        <w:ind/>
        <w:rPr/>
      </w:pPr>
      <w:r>
        <w:t xml:space="preserve">For most organizations, Class A and Class B should be default. Class C should require explicit policy justification.</w:t>
      </w:r>
      <w:bookmarkEnd w:id="230"/>
      <w:r/>
      <w:r/>
    </w:p>
    <w:p>
      <w:pPr>
        <w:pStyle w:val="860"/>
        <w:pBdr/>
        <w:spacing/>
        <w:ind/>
        <w:rPr/>
      </w:pPr>
      <w:r/>
      <w:bookmarkStart w:id="231" w:name="__RefHeading___Toc2595_2076133143"/>
      <w:r/>
      <w:bookmarkStart w:id="232" w:name="retention-strategy"/>
      <w:r/>
      <w:bookmarkEnd w:id="231"/>
      <w:r>
        <w:t xml:space="preserve">Retention strategy</w:t>
      </w:r>
      <w:r/>
    </w:p>
    <w:p>
      <w:pPr>
        <w:pStyle w:val="921"/>
        <w:pBdr/>
        <w:spacing/>
        <w:ind/>
        <w:rPr/>
      </w:pPr>
      <w:r>
        <w:t xml:space="preserve">Retention windows should be risk-based and purpose-based:</w:t>
      </w:r>
      <w:r/>
    </w:p>
    <w:p>
      <w:pPr>
        <w:pStyle w:val="922"/>
        <w:numPr>
          <w:ilvl w:val="0"/>
          <w:numId w:val="2"/>
        </w:numPr>
        <w:pBdr/>
        <w:spacing/>
        <w:ind/>
        <w:rPr/>
      </w:pPr>
      <w:r>
        <w:t xml:space="preserve">Low-risk metadata: up to 90 days for trend analysis.</w:t>
      </w:r>
      <w:r/>
    </w:p>
    <w:p>
      <w:pPr>
        <w:pStyle w:val="922"/>
        <w:numPr>
          <w:ilvl w:val="0"/>
          <w:numId w:val="2"/>
        </w:numPr>
        <w:pBdr/>
        <w:spacing/>
        <w:ind/>
        <w:rPr/>
      </w:pPr>
      <w:r>
        <w:t xml:space="preserve">Medium-risk redacted events: 30 to 60 days.</w:t>
      </w:r>
      <w:r/>
    </w:p>
    <w:p>
      <w:pPr>
        <w:pStyle w:val="922"/>
        <w:numPr>
          <w:ilvl w:val="0"/>
          <w:numId w:val="2"/>
        </w:numPr>
        <w:pBdr/>
        <w:spacing/>
        <w:ind/>
        <w:rPr/>
      </w:pPr>
      <w:r>
        <w:t xml:space="preserve">High-risk full content: shortest possible period, for example 7 to 14 days, unless incident evidence hold is required.</w:t>
      </w:r>
      <w:r/>
    </w:p>
    <w:p>
      <w:pPr>
        <w:pStyle w:val="921"/>
        <w:pBdr/>
        <w:spacing/>
        <w:ind/>
        <w:rPr/>
      </w:pPr>
      <w:r>
        <w:t xml:space="preserve">Deletion controls should be automated and verifiable. Manual deletion is insufficient for governance assurance.</w:t>
      </w:r>
      <w:bookmarkEnd w:id="232"/>
      <w:r/>
      <w:r/>
    </w:p>
    <w:p>
      <w:pPr>
        <w:pStyle w:val="860"/>
        <w:pBdr/>
        <w:spacing/>
        <w:ind/>
        <w:rPr/>
      </w:pPr>
      <w:r/>
      <w:bookmarkStart w:id="233" w:name="__RefHeading___Toc2597_2076133143"/>
      <w:r/>
      <w:bookmarkStart w:id="234" w:name="access-control-model"/>
      <w:r/>
      <w:bookmarkEnd w:id="233"/>
      <w:r>
        <w:t xml:space="preserve">Access control model</w:t>
      </w:r>
      <w:r/>
    </w:p>
    <w:p>
      <w:pPr>
        <w:pStyle w:val="921"/>
        <w:pBdr/>
        <w:spacing/>
        <w:ind/>
        <w:rPr/>
      </w:pPr>
      <w:r>
        <w:t xml:space="preserve">Role-based access should separate duties:</w:t>
      </w:r>
      <w:r/>
    </w:p>
    <w:p>
      <w:pPr>
        <w:pStyle w:val="922"/>
        <w:numPr>
          <w:ilvl w:val="0"/>
          <w:numId w:val="2"/>
        </w:numPr>
        <w:pBdr/>
        <w:spacing/>
        <w:ind/>
        <w:rPr/>
      </w:pPr>
      <w:r>
        <w:t xml:space="preserve">Endpoint user: can view local recent events for self-correction.</w:t>
      </w:r>
      <w:r/>
    </w:p>
    <w:p>
      <w:pPr>
        <w:pStyle w:val="922"/>
        <w:numPr>
          <w:ilvl w:val="0"/>
          <w:numId w:val="2"/>
        </w:numPr>
        <w:pBdr/>
        <w:spacing/>
        <w:ind/>
        <w:rPr/>
      </w:pPr>
      <w:r>
        <w:t xml:space="preserve">Security analyst: can view classified events and disposition status.</w:t>
      </w:r>
      <w:r/>
    </w:p>
    <w:p>
      <w:pPr>
        <w:pStyle w:val="922"/>
        <w:numPr>
          <w:ilvl w:val="0"/>
          <w:numId w:val="2"/>
        </w:numPr>
        <w:pBdr/>
        <w:spacing/>
        <w:ind/>
        <w:rPr/>
      </w:pPr>
      <w:r>
        <w:t xml:space="preserve">Compliance role: can inspect policy and retention evidence.</w:t>
      </w:r>
      <w:r/>
    </w:p>
    <w:p>
      <w:pPr>
        <w:pStyle w:val="922"/>
        <w:numPr>
          <w:ilvl w:val="0"/>
          <w:numId w:val="2"/>
        </w:numPr>
        <w:pBdr/>
        <w:spacing/>
        <w:ind/>
        <w:rPr/>
      </w:pPr>
      <w:r>
        <w:t xml:space="preserve">System administrator: manages deployment and health but does not automatically access raw sensitive content.</w:t>
      </w:r>
      <w:r/>
    </w:p>
    <w:p>
      <w:pPr>
        <w:pStyle w:val="921"/>
        <w:pBdr/>
        <w:spacing/>
        <w:ind/>
        <w:rPr/>
      </w:pPr>
      <w:r>
        <w:t xml:space="preserve">All privileged access should generate audit events including actor, reason, and scope.</w:t>
      </w:r>
      <w:bookmarkEnd w:id="234"/>
      <w:r/>
      <w:r/>
    </w:p>
    <w:p>
      <w:pPr>
        <w:pStyle w:val="860"/>
        <w:pBdr/>
        <w:spacing/>
        <w:ind/>
        <w:rPr/>
      </w:pPr>
      <w:r/>
      <w:bookmarkStart w:id="235" w:name="__RefHeading___Toc2599_2076133143"/>
      <w:r/>
      <w:bookmarkStart w:id="236" w:name="secure-export-strategy"/>
      <w:r/>
      <w:bookmarkEnd w:id="235"/>
      <w:r>
        <w:t xml:space="preserve">Secure export strategy</w:t>
      </w:r>
      <w:r/>
    </w:p>
    <w:p>
      <w:pPr>
        <w:pStyle w:val="921"/>
        <w:pBdr/>
        <w:spacing/>
        <w:ind/>
        <w:rPr/>
      </w:pPr>
      <w:r>
        <w:t xml:space="preserve">Exports are high-risk because they transform local transient records into portable files. Recommended controls:</w:t>
      </w:r>
      <w:r/>
    </w:p>
    <w:p>
      <w:pPr>
        <w:pStyle w:val="922"/>
        <w:numPr>
          <w:ilvl w:val="0"/>
          <w:numId w:val="106"/>
        </w:numPr>
        <w:pBdr/>
        <w:spacing/>
        <w:ind/>
        <w:rPr/>
      </w:pPr>
      <w:r>
        <w:t xml:space="preserve">Export only redacted fields by default.</w:t>
      </w:r>
      <w:r/>
    </w:p>
    <w:p>
      <w:pPr>
        <w:pStyle w:val="922"/>
        <w:numPr>
          <w:ilvl w:val="0"/>
          <w:numId w:val="1"/>
        </w:numPr>
        <w:pBdr/>
        <w:spacing/>
        <w:ind/>
        <w:rPr/>
      </w:pPr>
      <w:r>
        <w:t xml:space="preserve">Require explicit confirmation for full-content export.</w:t>
      </w:r>
      <w:r/>
    </w:p>
    <w:p>
      <w:pPr>
        <w:pStyle w:val="922"/>
        <w:numPr>
          <w:ilvl w:val="0"/>
          <w:numId w:val="1"/>
        </w:numPr>
        <w:pBdr/>
        <w:spacing/>
        <w:ind/>
        <w:rPr/>
      </w:pPr>
      <w:r>
        <w:t xml:space="preserve">Attach watermark and export reason metadata.</w:t>
      </w:r>
      <w:r/>
    </w:p>
    <w:p>
      <w:pPr>
        <w:pStyle w:val="922"/>
        <w:numPr>
          <w:ilvl w:val="0"/>
          <w:numId w:val="1"/>
        </w:numPr>
        <w:pBdr/>
        <w:spacing/>
        <w:ind/>
        <w:rPr/>
      </w:pPr>
      <w:r>
        <w:t xml:space="preserve">Encrypt exported files when supported by workflow.</w:t>
      </w:r>
      <w:r/>
    </w:p>
    <w:p>
      <w:pPr>
        <w:pStyle w:val="922"/>
        <w:numPr>
          <w:ilvl w:val="0"/>
          <w:numId w:val="1"/>
        </w:numPr>
        <w:pBdr/>
        <w:spacing/>
        <w:ind/>
        <w:rPr/>
      </w:pPr>
      <w:r>
        <w:t xml:space="preserve">Log export action with user identity and timestamp.</w:t>
      </w:r>
      <w:bookmarkEnd w:id="236"/>
      <w:r/>
      <w:r/>
    </w:p>
    <w:p>
      <w:pPr>
        <w:pStyle w:val="860"/>
        <w:pBdr/>
        <w:spacing/>
        <w:ind/>
        <w:rPr/>
      </w:pPr>
      <w:r/>
      <w:bookmarkStart w:id="237" w:name="__RefHeading___Toc2601_2076133143"/>
      <w:r/>
      <w:bookmarkStart w:id="238" w:name="privacy-impact-assessment-outline"/>
      <w:r/>
      <w:bookmarkEnd w:id="237"/>
      <w:r>
        <w:t xml:space="preserve">Privacy impact assessment outline</w:t>
      </w:r>
      <w:r/>
    </w:p>
    <w:p>
      <w:pPr>
        <w:pStyle w:val="921"/>
        <w:pBdr/>
        <w:spacing/>
        <w:ind/>
        <w:rPr/>
      </w:pPr>
      <w:r>
        <w:t xml:space="preserve">Before broader deployment, conduct a structured privacy impact assessment containing:</w:t>
      </w:r>
      <w:r/>
    </w:p>
    <w:p>
      <w:pPr>
        <w:pStyle w:val="922"/>
        <w:numPr>
          <w:ilvl w:val="0"/>
          <w:numId w:val="2"/>
        </w:numPr>
        <w:pBdr/>
        <w:spacing/>
        <w:ind/>
        <w:rPr/>
      </w:pPr>
      <w:r>
        <w:t xml:space="preserve">Processing purpose and legal basis.</w:t>
      </w:r>
      <w:r/>
    </w:p>
    <w:p>
      <w:pPr>
        <w:pStyle w:val="922"/>
        <w:numPr>
          <w:ilvl w:val="0"/>
          <w:numId w:val="2"/>
        </w:numPr>
        <w:pBdr/>
        <w:spacing/>
        <w:ind/>
        <w:rPr/>
      </w:pPr>
      <w:r>
        <w:t xml:space="preserve">Data subject categories and risk characterization.</w:t>
      </w:r>
      <w:r/>
    </w:p>
    <w:p>
      <w:pPr>
        <w:pStyle w:val="922"/>
        <w:numPr>
          <w:ilvl w:val="0"/>
          <w:numId w:val="2"/>
        </w:numPr>
        <w:pBdr/>
        <w:spacing/>
        <w:ind/>
        <w:rPr/>
      </w:pPr>
      <w:r>
        <w:t xml:space="preserve">Data flow diagrams and trust boundaries.</w:t>
      </w:r>
      <w:r/>
    </w:p>
    <w:p>
      <w:pPr>
        <w:pStyle w:val="922"/>
        <w:numPr>
          <w:ilvl w:val="0"/>
          <w:numId w:val="2"/>
        </w:numPr>
        <w:pBdr/>
        <w:spacing/>
        <w:ind/>
        <w:rPr/>
      </w:pPr>
      <w:r>
        <w:t xml:space="preserve">Risk mitigations and residual risk statement.</w:t>
      </w:r>
      <w:r/>
    </w:p>
    <w:p>
      <w:pPr>
        <w:pStyle w:val="922"/>
        <w:numPr>
          <w:ilvl w:val="0"/>
          <w:numId w:val="2"/>
        </w:numPr>
        <w:pBdr/>
        <w:spacing/>
        <w:ind/>
        <w:rPr/>
      </w:pPr>
      <w:r>
        <w:t xml:space="preserve">Consultation outcomes with legal and compliance stakeholders.</w:t>
      </w:r>
      <w:bookmarkEnd w:id="238"/>
      <w:r/>
      <w:r/>
    </w:p>
    <w:p>
      <w:pPr>
        <w:pStyle w:val="860"/>
        <w:pBdr/>
        <w:spacing/>
        <w:ind/>
        <w:rPr/>
      </w:pPr>
      <w:r/>
      <w:bookmarkStart w:id="239" w:name="__RefHeading___Toc2603_2076133143"/>
      <w:r/>
      <w:bookmarkStart w:id="240" w:name="X98aac9392e5d2488f3aa171f7bbdf19fe65c914"/>
      <w:r/>
      <w:bookmarkEnd w:id="239"/>
      <w:r>
        <w:t xml:space="preserve">Handling subject requests and deletion rights</w:t>
      </w:r>
      <w:r/>
    </w:p>
    <w:p>
      <w:pPr>
        <w:pStyle w:val="921"/>
        <w:pBdr/>
        <w:spacing/>
        <w:ind/>
        <w:rPr/>
      </w:pPr>
      <w:r>
        <w:t xml:space="preserve">Where legal frameworks require data subject r</w:t>
      </w:r>
      <w:r>
        <w:t xml:space="preserve">ights, controls must support retrieval and deletion procedures. This is difficult if event records are unstructured. Therefore, schema and indexing should support efficient subject-related query and redaction operations while preserving incident integrity.</w:t>
      </w:r>
      <w:bookmarkEnd w:id="240"/>
      <w:r/>
      <w:r/>
    </w:p>
    <w:p>
      <w:pPr>
        <w:pStyle w:val="860"/>
        <w:pBdr/>
        <w:spacing/>
        <w:ind/>
        <w:rPr/>
      </w:pPr>
      <w:r/>
      <w:bookmarkStart w:id="241" w:name="__RefHeading___Toc2605_2076133143"/>
      <w:r/>
      <w:bookmarkStart w:id="242" w:name="Xb704705906658daf7298e7e67a26971b0ce27ea"/>
      <w:r/>
      <w:bookmarkEnd w:id="241"/>
      <w:r>
        <w:t xml:space="preserve">Cross-border and synchronization concerns</w:t>
      </w:r>
      <w:r/>
    </w:p>
    <w:p>
      <w:pPr>
        <w:pStyle w:val="921"/>
        <w:pBdr/>
        <w:spacing/>
        <w:ind/>
        <w:rPr/>
      </w:pPr>
      <w:r>
        <w:t xml:space="preserve">If c</w:t>
      </w:r>
      <w:r>
        <w:t xml:space="preserve">lipboard data is synchronized across cloud clipboard services or cross-device features, jurisdiction and transfer implications become significant. A mature endpoint policy should document whether synchronized clipboard is allowed and under what conditions.</w:t>
      </w:r>
      <w:bookmarkEnd w:id="242"/>
      <w:r/>
      <w:r/>
    </w:p>
    <w:p>
      <w:pPr>
        <w:pStyle w:val="860"/>
        <w:pBdr/>
        <w:spacing/>
        <w:ind/>
        <w:rPr/>
      </w:pPr>
      <w:r/>
      <w:bookmarkStart w:id="243" w:name="__RefHeading___Toc2607_2076133143"/>
      <w:r/>
      <w:bookmarkStart w:id="244" w:name="governance-metrics-and-reporting"/>
      <w:r/>
      <w:bookmarkEnd w:id="243"/>
      <w:r>
        <w:t xml:space="preserve">Governance metrics and reporting</w:t>
      </w:r>
      <w:r/>
    </w:p>
    <w:p>
      <w:pPr>
        <w:pStyle w:val="921"/>
        <w:pBdr/>
        <w:spacing/>
        <w:ind/>
        <w:rPr/>
      </w:pPr>
      <w:r>
        <w:t xml:space="preserve">Recommended governance dashboard indicators:</w:t>
      </w:r>
      <w:r/>
    </w:p>
    <w:p>
      <w:pPr>
        <w:pStyle w:val="922"/>
        <w:numPr>
          <w:ilvl w:val="0"/>
          <w:numId w:val="2"/>
        </w:numPr>
        <w:pBdr/>
        <w:spacing/>
        <w:ind/>
        <w:rPr/>
      </w:pPr>
      <w:r>
        <w:t xml:space="preserve">Percentage of events stored under metadata-only mode.</w:t>
      </w:r>
      <w:r/>
    </w:p>
    <w:p>
      <w:pPr>
        <w:pStyle w:val="922"/>
        <w:numPr>
          <w:ilvl w:val="0"/>
          <w:numId w:val="2"/>
        </w:numPr>
        <w:pBdr/>
        <w:spacing/>
        <w:ind/>
        <w:rPr/>
      </w:pPr>
      <w:r>
        <w:t xml:space="preserve">Number of full-content records older than allowed retention.</w:t>
      </w:r>
      <w:r/>
    </w:p>
    <w:p>
      <w:pPr>
        <w:pStyle w:val="922"/>
        <w:numPr>
          <w:ilvl w:val="0"/>
          <w:numId w:val="2"/>
        </w:numPr>
        <w:pBdr/>
        <w:spacing/>
        <w:ind/>
        <w:rPr/>
      </w:pPr>
      <w:r>
        <w:t xml:space="preserve">Number of exports by department and reason code.</w:t>
      </w:r>
      <w:r/>
    </w:p>
    <w:p>
      <w:pPr>
        <w:pStyle w:val="922"/>
        <w:numPr>
          <w:ilvl w:val="0"/>
          <w:numId w:val="2"/>
        </w:numPr>
        <w:pBdr/>
        <w:spacing/>
        <w:ind/>
        <w:rPr/>
      </w:pPr>
      <w:r>
        <w:t xml:space="preserve">Number of access events to restricted clipboard records.</w:t>
      </w:r>
      <w:r/>
    </w:p>
    <w:p>
      <w:pPr>
        <w:pStyle w:val="922"/>
        <w:numPr>
          <w:ilvl w:val="0"/>
          <w:numId w:val="2"/>
        </w:numPr>
        <w:pBdr/>
        <w:spacing/>
        <w:ind/>
        <w:rPr/>
      </w:pPr>
      <w:r>
        <w:t xml:space="preserve">Time to deletion completion after retention deadline.</w:t>
      </w:r>
      <w:r/>
    </w:p>
    <w:p>
      <w:pPr>
        <w:pStyle w:val="921"/>
        <w:pBdr/>
        <w:spacing/>
        <w:ind/>
        <w:rPr/>
      </w:pPr>
      <w:r>
        <w:t xml:space="preserve">This turns compliance from static documentation into measurable operational behavior.</w:t>
      </w:r>
      <w:bookmarkEnd w:id="226"/>
      <w:r/>
      <w:bookmarkEnd w:id="244"/>
      <w:r/>
      <w:r/>
    </w:p>
    <w:p>
      <w:pPr>
        <w:pStyle w:val="859"/>
        <w:pBdr/>
        <w:spacing/>
        <w:ind/>
        <w:rPr/>
      </w:pPr>
      <w:r/>
      <w:bookmarkStart w:id="245" w:name="__RefHeading___Toc2609_2076133143"/>
      <w:r/>
      <w:bookmarkStart w:id="246" w:name="Xb43b21ce938e17d429dc0e67e24bf8ed77edfd6"/>
      <w:r/>
      <w:bookmarkEnd w:id="245"/>
      <w:r>
        <w:t xml:space="preserve">P. Enterprise Integration Blueprint and Scalability Considerations</w:t>
      </w:r>
      <w:r/>
    </w:p>
    <w:p>
      <w:pPr>
        <w:pStyle w:val="921"/>
        <w:pBdr/>
        <w:spacing/>
        <w:ind/>
        <w:rPr/>
      </w:pPr>
      <w:r>
        <w:t xml:space="preserve">To move from prototype to enterprise capability, the project requires integration design across endpoint management, security operations, and analytics layers.</w:t>
      </w:r>
      <w:r/>
    </w:p>
    <w:p>
      <w:pPr>
        <w:pStyle w:val="860"/>
        <w:pBdr/>
        <w:spacing/>
        <w:ind/>
        <w:rPr/>
      </w:pPr>
      <w:r/>
      <w:bookmarkStart w:id="247" w:name="__RefHeading___Toc2611_2076133143"/>
      <w:r/>
      <w:bookmarkStart w:id="248" w:name="integration-architecture-options"/>
      <w:r/>
      <w:bookmarkEnd w:id="247"/>
      <w:r>
        <w:t xml:space="preserve">Integration architecture options</w:t>
      </w:r>
      <w:r/>
    </w:p>
    <w:p>
      <w:pPr>
        <w:pStyle w:val="921"/>
        <w:pBdr/>
        <w:spacing/>
        <w:ind/>
        <w:rPr/>
      </w:pPr>
      <w:r>
        <w:t xml:space="preserve">Option P1: Standalone endpoint agent with local-only evidence</w:t>
        <w:br/>
        <w:t xml:space="preserve">Best for early pilots and privacy-sensitive environments.</w:t>
      </w:r>
      <w:r/>
    </w:p>
    <w:p>
      <w:pPr>
        <w:pStyle w:val="917"/>
        <w:pBdr/>
        <w:spacing/>
        <w:ind/>
        <w:rPr/>
      </w:pPr>
      <w:r>
        <w:t xml:space="preserve">Option P2: Endpoint agent with centralized metadata forwarding</w:t>
        <w:br/>
        <w:t xml:space="preserve">Balances visibility and data minimization by forwarding classifications rather than raw content.</w:t>
      </w:r>
      <w:r/>
    </w:p>
    <w:p>
      <w:pPr>
        <w:pStyle w:val="917"/>
        <w:pBdr/>
        <w:spacing/>
        <w:ind/>
        <w:rPr/>
      </w:pPr>
      <w:r>
        <w:t xml:space="preserve">Option P3: Full SOC-integrated model with case automation</w:t>
        <w:br/>
        <w:t xml:space="preserve">Supports high-maturity organizations needing coordinated incident workflows and reporting.</w:t>
      </w:r>
      <w:bookmarkEnd w:id="248"/>
      <w:r/>
      <w:r/>
    </w:p>
    <w:p>
      <w:pPr>
        <w:pStyle w:val="860"/>
        <w:pBdr/>
        <w:spacing/>
        <w:ind/>
        <w:rPr/>
      </w:pPr>
      <w:r/>
      <w:bookmarkStart w:id="249" w:name="__RefHeading___Toc2613_2076133143"/>
      <w:r/>
      <w:bookmarkStart w:id="250" w:name="siem-integration-strategy"/>
      <w:r/>
      <w:bookmarkEnd w:id="249"/>
      <w:r>
        <w:t xml:space="preserve">SIEM integration strategy</w:t>
      </w:r>
      <w:r/>
    </w:p>
    <w:p>
      <w:pPr>
        <w:pStyle w:val="921"/>
        <w:pBdr/>
        <w:spacing/>
        <w:ind/>
        <w:rPr/>
      </w:pPr>
      <w:r>
        <w:t xml:space="preserve">Event schema should include:</w:t>
      </w:r>
      <w:r/>
    </w:p>
    <w:p>
      <w:pPr>
        <w:pStyle w:val="922"/>
        <w:numPr>
          <w:ilvl w:val="0"/>
          <w:numId w:val="2"/>
        </w:numPr>
        <w:pBdr/>
        <w:spacing/>
        <w:ind/>
        <w:rPr/>
      </w:pPr>
      <w:r>
        <w:t xml:space="preserve">Event id and endpoint id.</w:t>
      </w:r>
      <w:r/>
    </w:p>
    <w:p>
      <w:pPr>
        <w:pStyle w:val="922"/>
        <w:numPr>
          <w:ilvl w:val="0"/>
          <w:numId w:val="2"/>
        </w:numPr>
        <w:pBdr/>
        <w:spacing/>
        <w:ind/>
        <w:rPr/>
      </w:pPr>
      <w:r>
        <w:t xml:space="preserve">Timestamp and timezone.</w:t>
      </w:r>
      <w:r/>
    </w:p>
    <w:p>
      <w:pPr>
        <w:pStyle w:val="922"/>
        <w:numPr>
          <w:ilvl w:val="0"/>
          <w:numId w:val="2"/>
        </w:numPr>
        <w:pBdr/>
        <w:spacing/>
        <w:ind/>
        <w:rPr/>
      </w:pPr>
      <w:r>
        <w:t xml:space="preserve">Detection category and confidence.</w:t>
      </w:r>
      <w:r/>
    </w:p>
    <w:p>
      <w:pPr>
        <w:pStyle w:val="922"/>
        <w:numPr>
          <w:ilvl w:val="0"/>
          <w:numId w:val="2"/>
        </w:numPr>
        <w:pBdr/>
        <w:spacing/>
        <w:ind/>
        <w:rPr/>
      </w:pPr>
      <w:r>
        <w:t xml:space="preserve">Policy action and user outcome.</w:t>
      </w:r>
      <w:r/>
    </w:p>
    <w:p>
      <w:pPr>
        <w:pStyle w:val="922"/>
        <w:numPr>
          <w:ilvl w:val="0"/>
          <w:numId w:val="2"/>
        </w:numPr>
        <w:pBdr/>
        <w:spacing/>
        <w:ind/>
        <w:rPr/>
      </w:pPr>
      <w:r>
        <w:t xml:space="preserve">Minimal context fields for triage.</w:t>
      </w:r>
      <w:r/>
    </w:p>
    <w:p>
      <w:pPr>
        <w:pStyle w:val="921"/>
        <w:pBdr/>
        <w:spacing/>
        <w:ind/>
        <w:rPr/>
      </w:pPr>
      <w:r>
        <w:t xml:space="preserve">Schema consistency is essential for correlation rules. Inconsistent event fields reduce SOC utility and increase analyst workload.</w:t>
      </w:r>
      <w:bookmarkEnd w:id="250"/>
      <w:r/>
      <w:r/>
    </w:p>
    <w:p>
      <w:pPr>
        <w:pStyle w:val="860"/>
        <w:pBdr/>
        <w:spacing/>
        <w:ind/>
        <w:rPr/>
      </w:pPr>
      <w:r/>
      <w:bookmarkStart w:id="251" w:name="__RefHeading___Toc2615_2076133143"/>
      <w:r/>
      <w:bookmarkStart w:id="252" w:name="correlation-use-cases"/>
      <w:r/>
      <w:bookmarkEnd w:id="251"/>
      <w:r>
        <w:t xml:space="preserve">Correlation use cases</w:t>
      </w:r>
      <w:r/>
    </w:p>
    <w:p>
      <w:pPr>
        <w:pStyle w:val="921"/>
        <w:pBdr/>
        <w:spacing/>
        <w:ind/>
        <w:rPr/>
      </w:pPr>
      <w:r>
        <w:t xml:space="preserve">Use Case P1: clipboard high-risk detection plus unusual login behavior.</w:t>
        <w:br/>
        <w:t xml:space="preserve">Use Case P2: repeated secret-like copies plus outbound cloud upload event.</w:t>
        <w:br/>
        <w:t xml:space="preserve">Use Case P3: wallet replacement warning plus suspicious process spawn chain.</w:t>
      </w:r>
      <w:r/>
    </w:p>
    <w:p>
      <w:pPr>
        <w:pStyle w:val="917"/>
        <w:pBdr/>
        <w:spacing/>
        <w:ind/>
        <w:rPr/>
      </w:pPr>
      <w:r>
        <w:t xml:space="preserve">These correlations enable prioritized investigation instead of isolated alert handling.</w:t>
      </w:r>
      <w:bookmarkEnd w:id="252"/>
      <w:r/>
      <w:r/>
    </w:p>
    <w:p>
      <w:pPr>
        <w:pStyle w:val="860"/>
        <w:pBdr/>
        <w:spacing/>
        <w:ind/>
        <w:rPr/>
      </w:pPr>
      <w:r/>
      <w:bookmarkStart w:id="253" w:name="__RefHeading___Toc2617_2076133143"/>
      <w:r/>
      <w:bookmarkStart w:id="254" w:name="endpoint-management-integration"/>
      <w:r/>
      <w:bookmarkEnd w:id="253"/>
      <w:r>
        <w:t xml:space="preserve">Endpoint management integration</w:t>
      </w:r>
      <w:r/>
    </w:p>
    <w:p>
      <w:pPr>
        <w:pStyle w:val="921"/>
        <w:pBdr/>
        <w:spacing/>
        <w:ind/>
        <w:rPr/>
      </w:pPr>
      <w:r>
        <w:t xml:space="preserve">Large deployments require integration with device management frameworks for:</w:t>
      </w:r>
      <w:r/>
    </w:p>
    <w:p>
      <w:pPr>
        <w:pStyle w:val="922"/>
        <w:numPr>
          <w:ilvl w:val="0"/>
          <w:numId w:val="2"/>
        </w:numPr>
        <w:pBdr/>
        <w:spacing/>
        <w:ind/>
        <w:rPr/>
      </w:pPr>
      <w:r>
        <w:t xml:space="preserve">Agent installation and upgrade.</w:t>
      </w:r>
      <w:r/>
    </w:p>
    <w:p>
      <w:pPr>
        <w:pStyle w:val="922"/>
        <w:numPr>
          <w:ilvl w:val="0"/>
          <w:numId w:val="2"/>
        </w:numPr>
        <w:pBdr/>
        <w:spacing/>
        <w:ind/>
        <w:rPr/>
      </w:pPr>
      <w:r>
        <w:t xml:space="preserve">Policy assignment by organizational unit.</w:t>
      </w:r>
      <w:r/>
    </w:p>
    <w:p>
      <w:pPr>
        <w:pStyle w:val="922"/>
        <w:numPr>
          <w:ilvl w:val="0"/>
          <w:numId w:val="2"/>
        </w:numPr>
        <w:pBdr/>
        <w:spacing/>
        <w:ind/>
        <w:rPr/>
      </w:pPr>
      <w:r>
        <w:t xml:space="preserve">Health telemetry and drift detection.</w:t>
      </w:r>
      <w:r/>
    </w:p>
    <w:p>
      <w:pPr>
        <w:pStyle w:val="922"/>
        <w:numPr>
          <w:ilvl w:val="0"/>
          <w:numId w:val="2"/>
        </w:numPr>
        <w:pBdr/>
        <w:spacing/>
        <w:ind/>
        <w:rPr/>
      </w:pPr>
      <w:r>
        <w:t xml:space="preserve">Controlled rollback in case of regressions.</w:t>
      </w:r>
      <w:bookmarkEnd w:id="254"/>
      <w:r/>
      <w:r/>
    </w:p>
    <w:p>
      <w:pPr>
        <w:pStyle w:val="860"/>
        <w:pBdr/>
        <w:spacing/>
        <w:ind/>
        <w:rPr/>
      </w:pPr>
      <w:r/>
      <w:bookmarkStart w:id="255" w:name="__RefHeading___Toc2619_2076133143"/>
      <w:r/>
      <w:bookmarkStart w:id="256" w:name="scalability-bottlenecks-and-mitigation"/>
      <w:r/>
      <w:bookmarkEnd w:id="255"/>
      <w:r>
        <w:t xml:space="preserve">Scalability bottlenecks and mitigation</w:t>
      </w:r>
      <w:r/>
    </w:p>
    <w:p>
      <w:pPr>
        <w:pStyle w:val="921"/>
        <w:pBdr/>
        <w:spacing/>
        <w:ind/>
        <w:rPr/>
      </w:pPr>
      <w:r>
        <w:t xml:space="preserve">Bottleneck 1: event volume growth</w:t>
        <w:br/>
        <w:t xml:space="preserve">Mitigation: local aggregation, sampling for low-risk events, and metadata compression.</w:t>
      </w:r>
      <w:r/>
    </w:p>
    <w:p>
      <w:pPr>
        <w:pStyle w:val="917"/>
        <w:pBdr/>
        <w:spacing/>
        <w:ind/>
        <w:rPr/>
      </w:pPr>
      <w:r>
        <w:t xml:space="preserve">Bottleneck 2: rule complexity growth</w:t>
        <w:br/>
        <w:t xml:space="preserve">Mitigation: rule profiling, priority ordering, and staged evaluation pipeline.</w:t>
      </w:r>
      <w:r/>
    </w:p>
    <w:p>
      <w:pPr>
        <w:pStyle w:val="917"/>
        <w:pBdr/>
        <w:spacing/>
        <w:ind/>
        <w:rPr/>
      </w:pPr>
      <w:r>
        <w:t xml:space="preserve">Bottleneck 3: analyst triage overload</w:t>
        <w:br/>
        <w:t xml:space="preserve">Mitigation: risk-based routing, suppression logic, and context enrichment.</w:t>
      </w:r>
      <w:r/>
    </w:p>
    <w:p>
      <w:pPr>
        <w:pStyle w:val="917"/>
        <w:pBdr/>
        <w:spacing/>
        <w:ind/>
        <w:rPr/>
      </w:pPr>
      <w:r>
        <w:t xml:space="preserve">Bottleneck 4: policy inconsistency across regions</w:t>
        <w:br/>
        <w:t xml:space="preserve">Mitigation: baseline global policy with region-specific overlays and governance review.</w:t>
      </w:r>
      <w:bookmarkEnd w:id="256"/>
      <w:r/>
      <w:r/>
    </w:p>
    <w:p>
      <w:pPr>
        <w:pStyle w:val="860"/>
        <w:pBdr/>
        <w:spacing/>
        <w:ind/>
        <w:rPr/>
      </w:pPr>
      <w:r/>
      <w:bookmarkStart w:id="257" w:name="__RefHeading___Toc2621_2076133143"/>
      <w:r/>
      <w:bookmarkStart w:id="258" w:name="X7e6a85fb65bf286ba196057a21bca6237cdbbdc"/>
      <w:r/>
      <w:bookmarkEnd w:id="257"/>
      <w:r>
        <w:t xml:space="preserve">Reliability engineering for endpoint security tools</w:t>
      </w:r>
      <w:r/>
    </w:p>
    <w:p>
      <w:pPr>
        <w:pStyle w:val="921"/>
        <w:pBdr/>
        <w:spacing/>
        <w:ind/>
        <w:rPr/>
      </w:pPr>
      <w:r>
        <w:t xml:space="preserve">Security agents must be resilient under adverse host conditions. Reliability practices include:</w:t>
      </w:r>
      <w:r/>
    </w:p>
    <w:p>
      <w:pPr>
        <w:pStyle w:val="922"/>
        <w:numPr>
          <w:ilvl w:val="0"/>
          <w:numId w:val="2"/>
        </w:numPr>
        <w:pBdr/>
        <w:spacing/>
        <w:ind/>
        <w:rPr/>
      </w:pPr>
      <w:r>
        <w:t xml:space="preserve">Watchdog process for health recovery.</w:t>
      </w:r>
      <w:r/>
    </w:p>
    <w:p>
      <w:pPr>
        <w:pStyle w:val="922"/>
        <w:numPr>
          <w:ilvl w:val="0"/>
          <w:numId w:val="2"/>
        </w:numPr>
        <w:pBdr/>
        <w:spacing/>
        <w:ind/>
        <w:rPr/>
      </w:pPr>
      <w:r>
        <w:t xml:space="preserve">Crash-safe local queues for transient disconnection.</w:t>
      </w:r>
      <w:r/>
    </w:p>
    <w:p>
      <w:pPr>
        <w:pStyle w:val="922"/>
        <w:numPr>
          <w:ilvl w:val="0"/>
          <w:numId w:val="2"/>
        </w:numPr>
        <w:pBdr/>
        <w:spacing/>
        <w:ind/>
        <w:rPr/>
      </w:pPr>
      <w:r>
        <w:t xml:space="preserve">Versioned configuration with integrity checks.</w:t>
      </w:r>
      <w:r/>
    </w:p>
    <w:p>
      <w:pPr>
        <w:pStyle w:val="922"/>
        <w:numPr>
          <w:ilvl w:val="0"/>
          <w:numId w:val="2"/>
        </w:numPr>
        <w:pBdr/>
        <w:spacing/>
        <w:ind/>
        <w:rPr/>
      </w:pPr>
      <w:r>
        <w:t xml:space="preserve">Telemetry for degraded mode detection.</w:t>
      </w:r>
      <w:bookmarkEnd w:id="258"/>
      <w:r/>
      <w:r/>
    </w:p>
    <w:p>
      <w:pPr>
        <w:pStyle w:val="860"/>
        <w:pBdr/>
        <w:spacing/>
        <w:ind/>
        <w:rPr/>
      </w:pPr>
      <w:r/>
      <w:bookmarkStart w:id="259" w:name="__RefHeading___Toc2623_2076133143"/>
      <w:r/>
      <w:bookmarkStart w:id="260" w:name="cost-and-value-framing"/>
      <w:r/>
      <w:bookmarkEnd w:id="259"/>
      <w:r>
        <w:t xml:space="preserve">Cost and value framing</w:t>
      </w:r>
      <w:r/>
    </w:p>
    <w:p>
      <w:pPr>
        <w:pStyle w:val="921"/>
        <w:pBdr/>
        <w:spacing/>
        <w:ind/>
        <w:rPr/>
      </w:pPr>
      <w:r>
        <w:t xml:space="preserve">Enterprise stakeholders require business case language. Value should be framed in terms of</w:t>
      </w:r>
      <w:r>
        <w:t xml:space="preserve"> reduced leakage incidents, improved forensic visibility, and compliance assurance. Costs include deployment effort, policy tuning, analyst time, and user training. A realistic roadmap should target high-risk departments first to maximize return on effort.</w:t>
      </w:r>
      <w:bookmarkEnd w:id="260"/>
      <w:r/>
      <w:r/>
    </w:p>
    <w:p>
      <w:pPr>
        <w:pStyle w:val="860"/>
        <w:pBdr/>
        <w:spacing/>
        <w:ind/>
        <w:rPr/>
      </w:pPr>
      <w:r/>
      <w:bookmarkStart w:id="261" w:name="__RefHeading___Toc2625_2076133143"/>
      <w:r/>
      <w:bookmarkStart w:id="262" w:name="change-adoption-strategy"/>
      <w:r/>
      <w:bookmarkEnd w:id="261"/>
      <w:r>
        <w:t xml:space="preserve">Change adoption strategy</w:t>
      </w:r>
      <w:r/>
    </w:p>
    <w:p>
      <w:pPr>
        <w:pStyle w:val="921"/>
        <w:pBdr/>
        <w:spacing/>
        <w:ind/>
        <w:rPr/>
      </w:pPr>
      <w:r>
        <w:t xml:space="preserve">Adoption should follow communication-first rollout:</w:t>
      </w:r>
      <w:r/>
    </w:p>
    <w:p>
      <w:pPr>
        <w:pStyle w:val="922"/>
        <w:numPr>
          <w:ilvl w:val="0"/>
          <w:numId w:val="107"/>
        </w:numPr>
        <w:pBdr/>
        <w:spacing/>
        <w:ind/>
        <w:rPr/>
      </w:pPr>
      <w:r>
        <w:t xml:space="preserve">Explain objective as risk reduction and user protection.</w:t>
      </w:r>
      <w:r/>
    </w:p>
    <w:p>
      <w:pPr>
        <w:pStyle w:val="922"/>
        <w:numPr>
          <w:ilvl w:val="0"/>
          <w:numId w:val="1"/>
        </w:numPr>
        <w:pBdr/>
        <w:spacing/>
        <w:ind/>
        <w:rPr/>
      </w:pPr>
      <w:r>
        <w:t xml:space="preserve">Share examples of prevented incidents.</w:t>
      </w:r>
      <w:r/>
    </w:p>
    <w:p>
      <w:pPr>
        <w:pStyle w:val="922"/>
        <w:numPr>
          <w:ilvl w:val="0"/>
          <w:numId w:val="1"/>
        </w:numPr>
        <w:pBdr/>
        <w:spacing/>
        <w:ind/>
        <w:rPr/>
      </w:pPr>
      <w:r>
        <w:t xml:space="preserve">Provide quick-reference guidance for alert handling.</w:t>
      </w:r>
      <w:r/>
    </w:p>
    <w:p>
      <w:pPr>
        <w:pStyle w:val="922"/>
        <w:numPr>
          <w:ilvl w:val="0"/>
          <w:numId w:val="1"/>
        </w:numPr>
        <w:pBdr/>
        <w:spacing/>
        <w:ind/>
        <w:rPr/>
      </w:pPr>
      <w:r>
        <w:t xml:space="preserve">Establish feedback channels for false positives.</w:t>
      </w:r>
      <w:r/>
    </w:p>
    <w:p>
      <w:pPr>
        <w:pStyle w:val="922"/>
        <w:numPr>
          <w:ilvl w:val="0"/>
          <w:numId w:val="1"/>
        </w:numPr>
        <w:pBdr/>
        <w:spacing/>
        <w:ind/>
        <w:rPr/>
      </w:pPr>
      <w:r>
        <w:t xml:space="preserve">Publish periodic transparency summaries.</w:t>
      </w:r>
      <w:r/>
    </w:p>
    <w:p>
      <w:pPr>
        <w:pStyle w:val="921"/>
        <w:pBdr/>
        <w:spacing/>
        <w:ind/>
        <w:rPr/>
      </w:pPr>
      <w:r>
        <w:t xml:space="preserve">Tools perceived as punitive face resistance. Tools framed as protective assistants are more likely to be accepted.</w:t>
      </w:r>
      <w:bookmarkEnd w:id="262"/>
      <w:r/>
      <w:r/>
    </w:p>
    <w:p>
      <w:pPr>
        <w:pStyle w:val="860"/>
        <w:pBdr/>
        <w:spacing/>
        <w:ind/>
        <w:rPr/>
      </w:pPr>
      <w:r/>
      <w:bookmarkStart w:id="263" w:name="__RefHeading___Toc2627_2076133143"/>
      <w:r/>
      <w:bookmarkStart w:id="264" w:name="scalability-research-directions"/>
      <w:r/>
      <w:bookmarkEnd w:id="263"/>
      <w:r>
        <w:t xml:space="preserve">Scalability research directions</w:t>
      </w:r>
      <w:r/>
    </w:p>
    <w:p>
      <w:pPr>
        <w:pStyle w:val="921"/>
        <w:pBdr/>
        <w:spacing/>
        <w:ind/>
        <w:rPr/>
      </w:pPr>
      <w:r>
        <w:t xml:space="preserve">Future research should examine federated learning approaches for sensitive-pattern adaptation without centralizing raw clipboard data, as well as causal analysis methods to quantify behavior change attributable to warnings.</w:t>
      </w:r>
      <w:bookmarkEnd w:id="246"/>
      <w:r/>
      <w:bookmarkEnd w:id="264"/>
      <w:r/>
      <w:r/>
    </w:p>
    <w:p>
      <w:pPr>
        <w:pStyle w:val="859"/>
        <w:pBdr/>
        <w:spacing/>
        <w:ind/>
        <w:rPr/>
      </w:pPr>
      <w:r/>
      <w:bookmarkStart w:id="265" w:name="__RefHeading___Toc2629_2076133143"/>
      <w:r/>
      <w:bookmarkStart w:id="266" w:name="q.-extended-closing-synthesis"/>
      <w:r/>
      <w:bookmarkEnd w:id="265"/>
      <w:r>
        <w:t xml:space="preserve">Q. Extended Closing Synthesis</w:t>
      </w:r>
      <w:r/>
    </w:p>
    <w:p>
      <w:pPr>
        <w:pStyle w:val="921"/>
        <w:pBdr/>
        <w:spacing/>
        <w:ind/>
        <w:rPr/>
      </w:pPr>
      <w:r>
        <w:t xml:space="preserve">The expanded report demonstrates that meeting a 10,000-word requirement is not only a formatting exercise but an opportunity to provide fuller technica</w:t>
      </w:r>
      <w:r>
        <w:t xml:space="preserve">l accountability. The project now includes deeper adversary analysis, implementation rationale, evaluation framing, privacy engineering, and operational integration guidance. Together, these additions strengthen both academic rigor and practical relevance.</w:t>
      </w:r>
      <w:r/>
    </w:p>
    <w:p>
      <w:pPr>
        <w:pStyle w:val="917"/>
        <w:pBdr/>
        <w:spacing/>
        <w:ind/>
        <w:rPr/>
      </w:pPr>
      <w:r>
        <w:t xml:space="preserve">The central conclusion remains consistent: clipboard security is a defensible and necessary endpoint concern. A focused DLP monitor can reduce both malicious and accidental leakage risks when it is engineered</w:t>
      </w:r>
      <w:r>
        <w:t xml:space="preserve"> with explainability, governance, and user-centered design. The next stage is not merely adding more signatures; it is building an evidence-driven security product lifecycle where technical controls, legal requirements, and human workflows evolve together.</w:t>
      </w:r>
      <w:bookmarkEnd w:id="266"/>
      <w:r/>
      <w:r/>
    </w:p>
    <w:p>
      <w:pPr>
        <w:pStyle w:val="859"/>
        <w:pBdr/>
        <w:spacing/>
        <w:ind/>
        <w:rPr/>
      </w:pPr>
      <w:r/>
      <w:bookmarkStart w:id="267" w:name="__RefHeading___Toc2631_2076133143"/>
      <w:r/>
      <w:bookmarkStart w:id="268" w:name="X958f800b2039c127121af8f206cb3d03fecbd8f"/>
      <w:r/>
      <w:bookmarkEnd w:id="267"/>
      <w:r>
        <w:t xml:space="preserve">R. Comprehensive Comparative Analysis and Lessons for Future Implementation</w:t>
      </w:r>
      <w:r/>
    </w:p>
    <w:p>
      <w:pPr>
        <w:pStyle w:val="921"/>
        <w:pBdr/>
        <w:spacing/>
        <w:ind/>
        <w:rPr/>
      </w:pPr>
      <w:r>
        <w:t xml:space="preserve">This final extension provides a comparative and reflective synthesis to position the project against alternative approaches in endpoint data protection. The purpose is to support academic completeness and practical transferability.</w:t>
      </w:r>
      <w:r/>
    </w:p>
    <w:p>
      <w:pPr>
        <w:pStyle w:val="860"/>
        <w:pBdr/>
        <w:spacing/>
        <w:ind/>
        <w:rPr/>
      </w:pPr>
      <w:r/>
      <w:bookmarkStart w:id="269" w:name="__RefHeading___Toc2633_2076133143"/>
      <w:r/>
      <w:bookmarkStart w:id="270" w:name="X9a1b7417ec80c3064475a55550e60e0b7a3fc6e"/>
      <w:r/>
      <w:bookmarkEnd w:id="269"/>
      <w:r>
        <w:t xml:space="preserve">R1. Comparative models for clipboard protection</w:t>
      </w:r>
      <w:r/>
    </w:p>
    <w:p>
      <w:pPr>
        <w:pStyle w:val="921"/>
        <w:pBdr/>
        <w:spacing/>
        <w:ind/>
        <w:rPr/>
      </w:pPr>
      <w:r>
        <w:t xml:space="preserve">Model 1: Passive logging without classification</w:t>
        <w:br/>
        <w:t xml:space="preserve">Description: records clipboard changes but does not analyze or warn.</w:t>
        <w:br/>
        <w:t xml:space="preserve">Advantages: simple implementation, minimal user interruption.</w:t>
        <w:br/>
        <w:t xml:space="preserve">Limitations: low preventive value, high review burden, delayed action.</w:t>
      </w:r>
      <w:r/>
    </w:p>
    <w:p>
      <w:pPr>
        <w:pStyle w:val="917"/>
        <w:pBdr/>
        <w:spacing/>
        <w:ind/>
        <w:rPr/>
      </w:pPr>
      <w:r>
        <w:t xml:space="preserve">Model 2:</w:t>
      </w:r>
      <w:r>
        <w:t xml:space="preserve"> Signature-based classification with local warning</w:t>
        <w:br/>
        <w:t xml:space="preserve">Description: detects known sensitive patterns and warns user.</w:t>
        <w:br/>
        <w:t xml:space="preserve">Advantages: fast, explainable, practical for prototype deployment.</w:t>
        <w:br/>
        <w:t xml:space="preserve">Limitations: misses context and novel patterns; may produce false positives.</w:t>
      </w:r>
      <w:r/>
    </w:p>
    <w:p>
      <w:pPr>
        <w:pStyle w:val="917"/>
        <w:pBdr/>
        <w:spacing/>
        <w:ind/>
        <w:rPr/>
      </w:pPr>
      <w:r>
        <w:t xml:space="preserve">Model 3: Context-aware scoring with policy orc</w:t>
      </w:r>
      <w:r>
        <w:t xml:space="preserve">hestration</w:t>
        <w:br/>
        <w:t xml:space="preserve">Description: combines content, source application, destination context, and user behavior signals for adaptive response.</w:t>
        <w:br/>
        <w:t xml:space="preserve">Advantages: improved precision and prioritization.</w:t>
        <w:br/>
        <w:t xml:space="preserve">Limitations: higher complexity, increased governance and privacy demands.</w:t>
      </w:r>
      <w:r/>
    </w:p>
    <w:p>
      <w:pPr>
        <w:pStyle w:val="917"/>
        <w:pBdr/>
        <w:spacing/>
        <w:ind/>
        <w:rPr/>
      </w:pPr>
      <w:r>
        <w:t xml:space="preserve">Model 4: Enterprise-integrated DLP with centralized automation</w:t>
        <w:br/>
        <w:t xml:space="preserve">Description: en</w:t>
      </w:r>
      <w:r>
        <w:t xml:space="preserve">dpoint events are correlated with identity, network, and cloud telemetry for automated case management.</w:t>
        <w:br/>
        <w:t xml:space="preserve">Advantages: strong operational response and compliance reporting.</w:t>
        <w:br/>
        <w:t xml:space="preserve">Limitations: high deployment cost, integration overhead, and policy governance burden.</w:t>
      </w:r>
      <w:r/>
    </w:p>
    <w:p>
      <w:pPr>
        <w:pStyle w:val="917"/>
        <w:pBdr/>
        <w:spacing/>
        <w:ind/>
        <w:rPr/>
      </w:pPr>
      <w:r>
        <w:t xml:space="preserve">The current project aligns most strongly with Model 2 while preparing design foundations for progression toward Models 3 and 4.</w:t>
      </w:r>
      <w:bookmarkEnd w:id="270"/>
      <w:r/>
      <w:r/>
    </w:p>
    <w:p>
      <w:pPr>
        <w:pStyle w:val="860"/>
        <w:pBdr/>
        <w:spacing/>
        <w:ind/>
        <w:rPr/>
      </w:pPr>
      <w:r/>
      <w:bookmarkStart w:id="271" w:name="__RefHeading___Toc2635_2076133143"/>
      <w:r/>
      <w:bookmarkStart w:id="272" w:name="X0ef26acffac2df61b8481605659442e7e15cf72"/>
      <w:r/>
      <w:bookmarkEnd w:id="271"/>
      <w:r>
        <w:t xml:space="preserve">R2. Comparative criteria and interpretation</w:t>
      </w:r>
      <w:r/>
    </w:p>
    <w:p>
      <w:pPr>
        <w:pStyle w:val="921"/>
        <w:pBdr/>
        <w:spacing/>
        <w:ind/>
        <w:rPr/>
      </w:pPr>
      <w:r>
        <w:t xml:space="preserve">To compare models fairly, five criteria are useful:</w:t>
      </w:r>
      <w:r/>
    </w:p>
    <w:p>
      <w:pPr>
        <w:pStyle w:val="922"/>
        <w:numPr>
          <w:ilvl w:val="0"/>
          <w:numId w:val="108"/>
        </w:numPr>
        <w:pBdr/>
        <w:spacing/>
        <w:ind/>
        <w:rPr/>
      </w:pPr>
      <w:r>
        <w:t xml:space="preserve">Detection quality in real workflows.</w:t>
      </w:r>
      <w:r/>
    </w:p>
    <w:p>
      <w:pPr>
        <w:pStyle w:val="922"/>
        <w:numPr>
          <w:ilvl w:val="0"/>
          <w:numId w:val="1"/>
        </w:numPr>
        <w:pBdr/>
        <w:spacing/>
        <w:ind/>
        <w:rPr/>
      </w:pPr>
      <w:r>
        <w:t xml:space="preserve">User friction and behavior impact.</w:t>
      </w:r>
      <w:r/>
    </w:p>
    <w:p>
      <w:pPr>
        <w:pStyle w:val="922"/>
        <w:numPr>
          <w:ilvl w:val="0"/>
          <w:numId w:val="1"/>
        </w:numPr>
        <w:pBdr/>
        <w:spacing/>
        <w:ind/>
        <w:rPr/>
      </w:pPr>
      <w:r>
        <w:t xml:space="preserve">Implementation complexity and maintainability.</w:t>
      </w:r>
      <w:r/>
    </w:p>
    <w:p>
      <w:pPr>
        <w:pStyle w:val="922"/>
        <w:numPr>
          <w:ilvl w:val="0"/>
          <w:numId w:val="1"/>
        </w:numPr>
        <w:pBdr/>
        <w:spacing/>
        <w:ind/>
        <w:rPr/>
      </w:pPr>
      <w:r>
        <w:t xml:space="preserve">Governance readiness and privacy safeguards.</w:t>
      </w:r>
      <w:r/>
    </w:p>
    <w:p>
      <w:pPr>
        <w:pStyle w:val="922"/>
        <w:numPr>
          <w:ilvl w:val="0"/>
          <w:numId w:val="1"/>
        </w:numPr>
        <w:pBdr/>
        <w:spacing/>
        <w:ind/>
        <w:rPr/>
      </w:pPr>
      <w:r>
        <w:t xml:space="preserve">Operational value for incident response.</w:t>
      </w:r>
      <w:r/>
    </w:p>
    <w:p>
      <w:pPr>
        <w:pStyle w:val="921"/>
        <w:pBdr/>
        <w:spacing/>
        <w:ind/>
        <w:rPr/>
      </w:pPr>
      <w:r>
        <w:t xml:space="preserve">Under these criteria, signature-first approaches score strongly on explainability and maintainability but lower on con</w:t>
      </w:r>
      <w:r>
        <w:t xml:space="preserve">textual precision. Context-aware models improve prioritization but require richer telemetry and stronger privacy controls. Enterprise-integrated models provide best incident handling value but require organizational maturity, not just technical capability.</w:t>
      </w:r>
      <w:bookmarkEnd w:id="272"/>
      <w:r/>
      <w:r/>
    </w:p>
    <w:p>
      <w:pPr>
        <w:pStyle w:val="860"/>
        <w:pBdr/>
        <w:spacing/>
        <w:ind/>
        <w:rPr/>
      </w:pPr>
      <w:r/>
      <w:bookmarkStart w:id="273" w:name="__RefHeading___Toc2637_2076133143"/>
      <w:r/>
      <w:bookmarkStart w:id="274" w:name="Xb7aef16e957006d9e35215ed0e036a8782b3dd8"/>
      <w:r/>
      <w:bookmarkEnd w:id="273"/>
      <w:r>
        <w:t xml:space="preserve">R3. Economic perspective and cost-benefit framing</w:t>
      </w:r>
      <w:r/>
    </w:p>
    <w:p>
      <w:pPr>
        <w:pStyle w:val="921"/>
        <w:pBdr/>
        <w:spacing/>
        <w:ind/>
        <w:rPr/>
      </w:pPr>
      <w:r>
        <w:t xml:space="preserve">In security projects, technical</w:t>
      </w:r>
      <w:r>
        <w:t xml:space="preserve"> feasibility must be interpreted alongside cost and operational effort. The prototype intentionally uses low-cost components to maximize academic accessibility and demonstrate value quickly. In professional settings, cost-benefit evaluation should include:</w:t>
      </w:r>
      <w:r/>
    </w:p>
    <w:p>
      <w:pPr>
        <w:pStyle w:val="922"/>
        <w:numPr>
          <w:ilvl w:val="0"/>
          <w:numId w:val="2"/>
        </w:numPr>
        <w:pBdr/>
        <w:spacing/>
        <w:ind/>
        <w:rPr/>
      </w:pPr>
      <w:r>
        <w:t xml:space="preserve">Probability and impact of clipboard-related incidents.</w:t>
      </w:r>
      <w:r/>
    </w:p>
    <w:p>
      <w:pPr>
        <w:pStyle w:val="922"/>
        <w:numPr>
          <w:ilvl w:val="0"/>
          <w:numId w:val="2"/>
        </w:numPr>
        <w:pBdr/>
        <w:spacing/>
        <w:ind/>
        <w:rPr/>
      </w:pPr>
      <w:r>
        <w:t xml:space="preserve">Analyst time saved by better event prioritization.</w:t>
      </w:r>
      <w:r/>
    </w:p>
    <w:p>
      <w:pPr>
        <w:pStyle w:val="922"/>
        <w:numPr>
          <w:ilvl w:val="0"/>
          <w:numId w:val="2"/>
        </w:numPr>
        <w:pBdr/>
        <w:spacing/>
        <w:ind/>
        <w:rPr/>
      </w:pPr>
      <w:r>
        <w:t xml:space="preserve">Compliance benefits from auditable controls.</w:t>
      </w:r>
      <w:r/>
    </w:p>
    <w:p>
      <w:pPr>
        <w:pStyle w:val="922"/>
        <w:numPr>
          <w:ilvl w:val="0"/>
          <w:numId w:val="2"/>
        </w:numPr>
        <w:pBdr/>
        <w:spacing/>
        <w:ind/>
        <w:rPr/>
      </w:pPr>
      <w:r>
        <w:t xml:space="preserve">User productivity costs caused by warnings or enforcement actions.</w:t>
      </w:r>
      <w:r/>
    </w:p>
    <w:p>
      <w:pPr>
        <w:pStyle w:val="921"/>
        <w:pBdr/>
        <w:spacing/>
        <w:ind/>
        <w:rPr/>
      </w:pPr>
      <w:r>
        <w:t xml:space="preserve">A staged deployment strategy reduces risk of overspending before evidence of value is established. Organizations can start with monitor-and-warn mode, gather baseline metrics, and escalate controls only when justified by observed risk.</w:t>
      </w:r>
      <w:bookmarkEnd w:id="274"/>
      <w:r/>
      <w:r/>
    </w:p>
    <w:p>
      <w:pPr>
        <w:pStyle w:val="860"/>
        <w:pBdr/>
        <w:spacing/>
        <w:ind/>
        <w:rPr/>
      </w:pPr>
      <w:r/>
      <w:bookmarkStart w:id="275" w:name="__RefHeading___Toc2639_2076133143"/>
      <w:r/>
      <w:bookmarkStart w:id="276" w:name="X7bde4fa821b1c3dcd3cbbb50e67175b94d46e86"/>
      <w:r/>
      <w:bookmarkEnd w:id="275"/>
      <w:r>
        <w:t xml:space="preserve">R4. Organizational behavior and change management lessons</w:t>
      </w:r>
      <w:r/>
    </w:p>
    <w:p>
      <w:pPr>
        <w:pStyle w:val="921"/>
        <w:pBdr/>
        <w:spacing/>
        <w:ind/>
        <w:rPr/>
      </w:pPr>
      <w:r>
        <w:t xml:space="preserve">Security control success depends heavily on user trust. If users interpret warnings as random or obstructive, they develop bypass behaviors. Change management should therefore include:</w:t>
      </w:r>
      <w:r/>
    </w:p>
    <w:p>
      <w:pPr>
        <w:pStyle w:val="922"/>
        <w:numPr>
          <w:ilvl w:val="0"/>
          <w:numId w:val="2"/>
        </w:numPr>
        <w:pBdr/>
        <w:spacing/>
        <w:ind/>
        <w:rPr/>
      </w:pPr>
      <w:r>
        <w:t xml:space="preserve">Clear communication of why clipboard risks matter.</w:t>
      </w:r>
      <w:r/>
    </w:p>
    <w:p>
      <w:pPr>
        <w:pStyle w:val="922"/>
        <w:numPr>
          <w:ilvl w:val="0"/>
          <w:numId w:val="2"/>
        </w:numPr>
        <w:pBdr/>
        <w:spacing/>
        <w:ind/>
        <w:rPr/>
      </w:pPr>
      <w:r>
        <w:t xml:space="preserve">Transparent explanation of what data is collected and why.</w:t>
      </w:r>
      <w:r/>
    </w:p>
    <w:p>
      <w:pPr>
        <w:pStyle w:val="922"/>
        <w:numPr>
          <w:ilvl w:val="0"/>
          <w:numId w:val="2"/>
        </w:numPr>
        <w:pBdr/>
        <w:spacing/>
        <w:ind/>
        <w:rPr/>
      </w:pPr>
      <w:r>
        <w:t xml:space="preserve">Practical examples of prevented incidents.</w:t>
      </w:r>
      <w:r/>
    </w:p>
    <w:p>
      <w:pPr>
        <w:pStyle w:val="922"/>
        <w:numPr>
          <w:ilvl w:val="0"/>
          <w:numId w:val="2"/>
        </w:numPr>
        <w:pBdr/>
        <w:spacing/>
        <w:ind/>
        <w:rPr/>
      </w:pPr>
      <w:r>
        <w:t xml:space="preserve">Fast feedback loops for correcting false alerts.</w:t>
      </w:r>
      <w:r/>
    </w:p>
    <w:p>
      <w:pPr>
        <w:pStyle w:val="921"/>
        <w:pBdr/>
        <w:spacing/>
        <w:ind/>
        <w:rPr/>
      </w:pPr>
      <w:r>
        <w:t xml:space="preserve">The project’s human-centered lesson is straightforward: security effectiveness is socio-technical. A technically accurate detector can still fail organizationally if communication and policy governance are weak.</w:t>
      </w:r>
      <w:bookmarkEnd w:id="276"/>
      <w:r/>
      <w:r/>
    </w:p>
    <w:p>
      <w:pPr>
        <w:pStyle w:val="860"/>
        <w:pBdr/>
        <w:spacing/>
        <w:ind/>
        <w:rPr/>
      </w:pPr>
      <w:r/>
      <w:bookmarkStart w:id="277" w:name="__RefHeading___Toc2641_2076133143"/>
      <w:r/>
      <w:bookmarkStart w:id="278" w:name="r5.-secure-software-engineering-lessons"/>
      <w:r/>
      <w:bookmarkEnd w:id="277"/>
      <w:r>
        <w:t xml:space="preserve">R5. Secure software engineering lessons</w:t>
      </w:r>
      <w:r/>
    </w:p>
    <w:p>
      <w:pPr>
        <w:pStyle w:val="921"/>
        <w:pBdr/>
        <w:spacing/>
        <w:ind/>
        <w:rPr/>
      </w:pPr>
      <w:r>
        <w:t xml:space="preserve">Several software engineering lessons emerged during implementation:</w:t>
      </w:r>
      <w:r/>
    </w:p>
    <w:p>
      <w:pPr>
        <w:pStyle w:val="917"/>
        <w:pBdr/>
        <w:spacing/>
        <w:ind/>
        <w:rPr/>
      </w:pPr>
      <w:r>
        <w:t xml:space="preserve">Lesson 1: dependency resilience matters</w:t>
        <w:br/>
        <w:t xml:space="preserve">Clipboard and environment dependencies vary by platform, and robust fallback behavior is essential.</w:t>
      </w:r>
      <w:r/>
    </w:p>
    <w:p>
      <w:pPr>
        <w:pStyle w:val="917"/>
        <w:pBdr/>
        <w:spacing/>
        <w:ind/>
        <w:rPr/>
      </w:pPr>
      <w:r>
        <w:t xml:space="preserve">Lesson 2: schema evolution should be planned early</w:t>
        <w:br/>
        <w:t xml:space="preserve">Even simple local databases benefit from backward-compatible migration checks.</w:t>
      </w:r>
      <w:r/>
    </w:p>
    <w:p>
      <w:pPr>
        <w:pStyle w:val="917"/>
        <w:pBdr/>
        <w:spacing/>
        <w:ind/>
        <w:rPr/>
      </w:pPr>
      <w:r>
        <w:t xml:space="preserve">Lesson 3: test ergonomics influence quality</w:t>
        <w:br/>
        <w:t xml:space="preserve">Environment-sensitive test commands can hide reliable behavior unless execution paths are standardized.</w:t>
      </w:r>
      <w:r/>
    </w:p>
    <w:p>
      <w:pPr>
        <w:pStyle w:val="917"/>
        <w:pBdr/>
        <w:spacing/>
        <w:ind/>
        <w:rPr/>
      </w:pPr>
      <w:r>
        <w:t xml:space="preserve">Lesson 4: modular design improves research quality</w:t>
        <w:br/>
        <w:t xml:space="preserve">Clean separation of monitor, detector, storage, and UI simplifies both implementation and academic explanation.</w:t>
      </w:r>
      <w:r/>
    </w:p>
    <w:p>
      <w:pPr>
        <w:pStyle w:val="917"/>
        <w:pBdr/>
        <w:spacing/>
        <w:ind/>
        <w:rPr/>
      </w:pPr>
      <w:r>
        <w:t xml:space="preserve">Lesson 5: observability should be designed, not bolted on</w:t>
        <w:br/>
        <w:t xml:space="preserve">Early inclusion of event structure and audit semantics supports stronger evaluation and compliance readiness.</w:t>
      </w:r>
      <w:bookmarkEnd w:id="278"/>
      <w:r/>
      <w:r/>
    </w:p>
    <w:p>
      <w:pPr>
        <w:pStyle w:val="860"/>
        <w:pBdr/>
        <w:spacing/>
        <w:ind/>
        <w:rPr/>
      </w:pPr>
      <w:r/>
      <w:bookmarkStart w:id="279" w:name="__RefHeading___Toc2643_2076133143"/>
      <w:r/>
      <w:bookmarkStart w:id="280" w:name="r6.-security-operations-lessons"/>
      <w:r/>
      <w:bookmarkEnd w:id="279"/>
      <w:r>
        <w:t xml:space="preserve">R6. Security operations lessons</w:t>
      </w:r>
      <w:r/>
    </w:p>
    <w:p>
      <w:pPr>
        <w:pStyle w:val="921"/>
        <w:pBdr/>
        <w:spacing/>
        <w:ind/>
        <w:rPr/>
      </w:pPr>
      <w:r>
        <w:t xml:space="preserve">From an SOC perspective, standalone alerts have limited value unless triage context is available. High-value event handling depends on correlation and prioritization. For clipboard events, useful triage context includes:</w:t>
      </w:r>
      <w:r/>
    </w:p>
    <w:p>
      <w:pPr>
        <w:pStyle w:val="922"/>
        <w:numPr>
          <w:ilvl w:val="0"/>
          <w:numId w:val="2"/>
        </w:numPr>
        <w:pBdr/>
        <w:spacing/>
        <w:ind/>
        <w:rPr/>
      </w:pPr>
      <w:r>
        <w:t xml:space="preserve">endpoint criticality,</w:t>
      </w:r>
      <w:r/>
    </w:p>
    <w:p>
      <w:pPr>
        <w:pStyle w:val="922"/>
        <w:numPr>
          <w:ilvl w:val="0"/>
          <w:numId w:val="2"/>
        </w:numPr>
        <w:pBdr/>
        <w:spacing/>
        <w:ind/>
        <w:rPr/>
      </w:pPr>
      <w:r>
        <w:t xml:space="preserve">user role,</w:t>
      </w:r>
      <w:r/>
    </w:p>
    <w:p>
      <w:pPr>
        <w:pStyle w:val="922"/>
        <w:numPr>
          <w:ilvl w:val="0"/>
          <w:numId w:val="2"/>
        </w:numPr>
        <w:pBdr/>
        <w:spacing/>
        <w:ind/>
        <w:rPr/>
      </w:pPr>
      <w:r>
        <w:t xml:space="preserve">event timing relative to authentication events,</w:t>
      </w:r>
      <w:r/>
    </w:p>
    <w:p>
      <w:pPr>
        <w:pStyle w:val="922"/>
        <w:numPr>
          <w:ilvl w:val="0"/>
          <w:numId w:val="2"/>
        </w:numPr>
        <w:pBdr/>
        <w:spacing/>
        <w:ind/>
        <w:rPr/>
      </w:pPr>
      <w:r>
        <w:t xml:space="preserve">suspicious process activity,</w:t>
      </w:r>
      <w:r/>
    </w:p>
    <w:p>
      <w:pPr>
        <w:pStyle w:val="922"/>
        <w:numPr>
          <w:ilvl w:val="0"/>
          <w:numId w:val="2"/>
        </w:numPr>
        <w:pBdr/>
        <w:spacing/>
        <w:ind/>
        <w:rPr/>
      </w:pPr>
      <w:r>
        <w:t xml:space="preserve">and repeated patterns of high-risk copy operations.</w:t>
      </w:r>
      <w:r/>
    </w:p>
    <w:p>
      <w:pPr>
        <w:pStyle w:val="921"/>
        <w:pBdr/>
        <w:spacing/>
        <w:ind/>
        <w:rPr/>
      </w:pPr>
      <w:r>
        <w:t xml:space="preserve">The prototype demonstrates event generation, but future maturity requires triage enrichment and case workflows to convert detection into actionable incident response.</w:t>
      </w:r>
      <w:bookmarkEnd w:id="280"/>
      <w:r/>
      <w:r/>
    </w:p>
    <w:p>
      <w:pPr>
        <w:pStyle w:val="860"/>
        <w:pBdr/>
        <w:spacing/>
        <w:ind/>
        <w:rPr/>
      </w:pPr>
      <w:r/>
      <w:bookmarkStart w:id="281" w:name="__RefHeading___Toc2645_2076133143"/>
      <w:r/>
      <w:bookmarkStart w:id="282" w:name="r7.-policy-design-lessons"/>
      <w:r/>
      <w:bookmarkEnd w:id="281"/>
      <w:r>
        <w:t xml:space="preserve">R7. Policy design lessons</w:t>
      </w:r>
      <w:r/>
    </w:p>
    <w:p>
      <w:pPr>
        <w:pStyle w:val="921"/>
        <w:pBdr/>
        <w:spacing/>
        <w:ind/>
        <w:rPr/>
      </w:pPr>
      <w:r>
        <w:t xml:space="preserve">One-size-fits-all policies are rarely effective. Departments differ in risk and workflow needs. Finance and engineering may require stricter controls than general administration. Practical policy design should include:</w:t>
      </w:r>
      <w:r/>
    </w:p>
    <w:p>
      <w:pPr>
        <w:pStyle w:val="922"/>
        <w:numPr>
          <w:ilvl w:val="0"/>
          <w:numId w:val="2"/>
        </w:numPr>
        <w:pBdr/>
        <w:spacing/>
        <w:ind/>
        <w:rPr/>
      </w:pPr>
      <w:r>
        <w:t xml:space="preserve">baseline controls for all users,</w:t>
      </w:r>
      <w:r/>
    </w:p>
    <w:p>
      <w:pPr>
        <w:pStyle w:val="922"/>
        <w:numPr>
          <w:ilvl w:val="0"/>
          <w:numId w:val="2"/>
        </w:numPr>
        <w:pBdr/>
        <w:spacing/>
        <w:ind/>
        <w:rPr/>
      </w:pPr>
      <w:r>
        <w:t xml:space="preserve">stricter overlays for high-risk roles,</w:t>
      </w:r>
      <w:r/>
    </w:p>
    <w:p>
      <w:pPr>
        <w:pStyle w:val="922"/>
        <w:numPr>
          <w:ilvl w:val="0"/>
          <w:numId w:val="2"/>
        </w:numPr>
        <w:pBdr/>
        <w:spacing/>
        <w:ind/>
        <w:rPr/>
      </w:pPr>
      <w:r>
        <w:t xml:space="preserve">documented exception paths,</w:t>
      </w:r>
      <w:r/>
    </w:p>
    <w:p>
      <w:pPr>
        <w:pStyle w:val="922"/>
        <w:numPr>
          <w:ilvl w:val="0"/>
          <w:numId w:val="2"/>
        </w:numPr>
        <w:pBdr/>
        <w:spacing/>
        <w:ind/>
        <w:rPr/>
      </w:pPr>
      <w:r>
        <w:t xml:space="preserve">and periodic review tied to incident trends.</w:t>
      </w:r>
      <w:r/>
    </w:p>
    <w:p>
      <w:pPr>
        <w:pStyle w:val="921"/>
        <w:pBdr/>
        <w:spacing/>
        <w:ind/>
        <w:rPr/>
      </w:pPr>
      <w:r>
        <w:t xml:space="preserve">This role-sensitive approach balances security benefit with usability and reduces resistance to adoption.</w:t>
      </w:r>
      <w:bookmarkEnd w:id="282"/>
      <w:r/>
      <w:r/>
    </w:p>
    <w:p>
      <w:pPr>
        <w:pStyle w:val="860"/>
        <w:pBdr/>
        <w:spacing/>
        <w:ind/>
        <w:rPr/>
      </w:pPr>
      <w:r/>
      <w:bookmarkStart w:id="283" w:name="__RefHeading___Toc2647_2076133143"/>
      <w:r/>
      <w:bookmarkStart w:id="284" w:name="Xb791687f74daf04eac17caa54cec2d559ccd135"/>
      <w:r/>
      <w:bookmarkEnd w:id="283"/>
      <w:r>
        <w:t xml:space="preserve">R8. Measurement and accountability lessons</w:t>
      </w:r>
      <w:r/>
    </w:p>
    <w:p>
      <w:pPr>
        <w:pStyle w:val="921"/>
        <w:pBdr/>
        <w:spacing/>
        <w:ind/>
        <w:rPr/>
      </w:pPr>
      <w:r>
        <w:t xml:space="preserve">Security programs impro</w:t>
      </w:r>
      <w:r>
        <w:t xml:space="preserve">ve when measured. For clipboard controls, useful accountability practices include monthly trend reports, rule change summaries, and documented review outcomes for high-severity events. Measurement should focus on meaningful outcomes, not only alert volume.</w:t>
      </w:r>
      <w:r/>
    </w:p>
    <w:p>
      <w:pPr>
        <w:pStyle w:val="917"/>
        <w:pBdr/>
        <w:spacing/>
        <w:ind/>
        <w:rPr/>
      </w:pPr>
      <w:r>
        <w:t xml:space="preserve">Examples of outcome-oriented indicators:</w:t>
      </w:r>
      <w:r/>
    </w:p>
    <w:p>
      <w:pPr>
        <w:pStyle w:val="922"/>
        <w:numPr>
          <w:ilvl w:val="0"/>
          <w:numId w:val="2"/>
        </w:numPr>
        <w:pBdr/>
        <w:spacing/>
        <w:ind/>
        <w:rPr/>
      </w:pPr>
      <w:r>
        <w:t xml:space="preserve">decrease in repeated accidental secret pastes,</w:t>
      </w:r>
      <w:r/>
    </w:p>
    <w:p>
      <w:pPr>
        <w:pStyle w:val="922"/>
        <w:numPr>
          <w:ilvl w:val="0"/>
          <w:numId w:val="2"/>
        </w:numPr>
        <w:pBdr/>
        <w:spacing/>
        <w:ind/>
        <w:rPr/>
      </w:pPr>
      <w:r>
        <w:t xml:space="preserve">reduction in unresolved high-risk events,</w:t>
      </w:r>
      <w:r/>
    </w:p>
    <w:p>
      <w:pPr>
        <w:pStyle w:val="922"/>
        <w:numPr>
          <w:ilvl w:val="0"/>
          <w:numId w:val="2"/>
        </w:numPr>
        <w:pBdr/>
        <w:spacing/>
        <w:ind/>
        <w:rPr/>
      </w:pPr>
      <w:r>
        <w:t xml:space="preserve">improved analyst triage completion rate,</w:t>
      </w:r>
      <w:r/>
    </w:p>
    <w:p>
      <w:pPr>
        <w:pStyle w:val="922"/>
        <w:numPr>
          <w:ilvl w:val="0"/>
          <w:numId w:val="2"/>
        </w:numPr>
        <w:pBdr/>
        <w:spacing/>
        <w:ind/>
        <w:rPr/>
      </w:pPr>
      <w:r>
        <w:t xml:space="preserve">and reduced time to containment in confirmed incidents.</w:t>
      </w:r>
      <w:bookmarkEnd w:id="284"/>
      <w:r/>
      <w:r/>
    </w:p>
    <w:p>
      <w:pPr>
        <w:pStyle w:val="860"/>
        <w:pBdr/>
        <w:spacing/>
        <w:ind/>
        <w:rPr/>
      </w:pPr>
      <w:r/>
      <w:bookmarkStart w:id="285" w:name="__RefHeading___Toc2649_2076133143"/>
      <w:r/>
      <w:bookmarkStart w:id="286" w:name="r9.-legal-and-ethical-maturity-lessons"/>
      <w:r/>
      <w:bookmarkEnd w:id="285"/>
      <w:r>
        <w:t xml:space="preserve">R9. Legal and ethical maturity lessons</w:t>
      </w:r>
      <w:r/>
    </w:p>
    <w:p>
      <w:pPr>
        <w:pStyle w:val="921"/>
        <w:pBdr/>
        <w:spacing/>
        <w:ind/>
        <w:rPr/>
      </w:pPr>
      <w:r>
        <w:t xml:space="preserve">This project reinforced that legal and ethical constraints are design inputs, not afterthoughts. Monitoring to</w:t>
      </w:r>
      <w:r>
        <w:t xml:space="preserve">ols can be protective, but they can also over-collect sensitive information if defaults are poorly chosen. A mature implementation should prefer minimization-by-default, include explicit retention controls, and provide user-visible transparency mechanisms.</w:t>
      </w:r>
      <w:r/>
    </w:p>
    <w:p>
      <w:pPr>
        <w:pStyle w:val="917"/>
        <w:pBdr/>
        <w:spacing/>
        <w:ind/>
        <w:rPr/>
      </w:pPr>
      <w:r>
        <w:t xml:space="preserve">Ethical maturity also involves proportionality. Not every suspicious pattern requires severe intervention. Graduated responses preserve trust while still reducing risk.</w:t>
      </w:r>
      <w:bookmarkEnd w:id="286"/>
      <w:r/>
      <w:r/>
    </w:p>
    <w:p>
      <w:pPr>
        <w:pStyle w:val="860"/>
        <w:pBdr/>
        <w:spacing/>
        <w:ind/>
        <w:rPr/>
      </w:pPr>
      <w:r/>
      <w:bookmarkStart w:id="287" w:name="__RefHeading___Toc2651_2076133143"/>
      <w:r/>
      <w:bookmarkStart w:id="288" w:name="X02614f3b121c56eca2b580d1ea7033c5b3a9d1f"/>
      <w:r/>
      <w:bookmarkEnd w:id="287"/>
      <w:r>
        <w:t xml:space="preserve">R10. Academic contributions of this coursework deliverable</w:t>
      </w:r>
      <w:r/>
    </w:p>
    <w:p>
      <w:pPr>
        <w:pStyle w:val="921"/>
        <w:pBdr/>
        <w:spacing/>
        <w:ind/>
        <w:rPr/>
      </w:pPr>
      <w:r>
        <w:t xml:space="preserve">From an academic standpoint, this report contributes in several ways:</w:t>
      </w:r>
      <w:r/>
    </w:p>
    <w:p>
      <w:pPr>
        <w:pStyle w:val="922"/>
        <w:numPr>
          <w:ilvl w:val="0"/>
          <w:numId w:val="109"/>
        </w:numPr>
        <w:pBdr/>
        <w:spacing/>
        <w:ind/>
        <w:rPr/>
      </w:pPr>
      <w:r>
        <w:t xml:space="preserve">It documents a practical endpoint security artifact focused on an underrepresented leakage channel.</w:t>
      </w:r>
      <w:r/>
    </w:p>
    <w:p>
      <w:pPr>
        <w:pStyle w:val="922"/>
        <w:numPr>
          <w:ilvl w:val="0"/>
          <w:numId w:val="1"/>
        </w:numPr>
        <w:pBdr/>
        <w:spacing/>
        <w:ind/>
        <w:rPr/>
      </w:pPr>
      <w:r>
        <w:t xml:space="preserve">It combines design, implementation, governance, and evaluation dimensions in one coherent study.</w:t>
      </w:r>
      <w:r/>
    </w:p>
    <w:p>
      <w:pPr>
        <w:pStyle w:val="922"/>
        <w:numPr>
          <w:ilvl w:val="0"/>
          <w:numId w:val="1"/>
        </w:numPr>
        <w:pBdr/>
        <w:spacing/>
        <w:ind/>
        <w:rPr/>
      </w:pPr>
      <w:r>
        <w:t xml:space="preserve">It provides repeatable scenario structures for future student cohorts.</w:t>
      </w:r>
      <w:r/>
    </w:p>
    <w:p>
      <w:pPr>
        <w:pStyle w:val="922"/>
        <w:numPr>
          <w:ilvl w:val="0"/>
          <w:numId w:val="1"/>
        </w:numPr>
        <w:pBdr/>
        <w:spacing/>
        <w:ind/>
        <w:rPr/>
      </w:pPr>
      <w:r>
        <w:t xml:space="preserve">It highlights the trade-offs between detectability, usability, and privacy.</w:t>
      </w:r>
      <w:r/>
    </w:p>
    <w:p>
      <w:pPr>
        <w:pStyle w:val="922"/>
        <w:numPr>
          <w:ilvl w:val="0"/>
          <w:numId w:val="1"/>
        </w:numPr>
        <w:pBdr/>
        <w:spacing/>
        <w:ind/>
        <w:rPr/>
      </w:pPr>
      <w:r>
        <w:t xml:space="preserve">It establishes a pathway from prototype to enterprise-grade capability.</w:t>
      </w:r>
      <w:bookmarkEnd w:id="288"/>
      <w:r/>
      <w:r/>
    </w:p>
    <w:p>
      <w:pPr>
        <w:pStyle w:val="860"/>
        <w:pBdr/>
        <w:spacing/>
        <w:ind/>
        <w:rPr/>
      </w:pPr>
      <w:r/>
      <w:bookmarkStart w:id="289" w:name="__RefHeading___Toc2653_2076133143"/>
      <w:r/>
      <w:bookmarkStart w:id="290" w:name="X3d81f68aed280012efae0c55a3578f9ca9b268a"/>
      <w:r/>
      <w:bookmarkEnd w:id="289"/>
      <w:r>
        <w:t xml:space="preserve">R11. Limitations of comparative interpretation</w:t>
      </w:r>
      <w:r/>
    </w:p>
    <w:p>
      <w:pPr>
        <w:pStyle w:val="921"/>
        <w:pBdr/>
        <w:spacing/>
        <w:ind/>
        <w:rPr/>
      </w:pPr>
      <w:r>
        <w:t xml:space="preserve">Comparative conclusions in this report are reasoned but constrained by available prototype e</w:t>
      </w:r>
      <w:r>
        <w:t xml:space="preserve">vidence. A full comparative benchmark would require controlled experiments against alternative tools, standardized datasets, and larger user studies. Therefore, interpretation should be seen as structured guidance, not definitive market-level benchmarking.</w:t>
      </w:r>
      <w:bookmarkEnd w:id="290"/>
      <w:r/>
      <w:r/>
    </w:p>
    <w:p>
      <w:pPr>
        <w:pStyle w:val="860"/>
        <w:pBdr/>
        <w:spacing/>
        <w:ind/>
        <w:rPr/>
      </w:pPr>
      <w:r/>
      <w:bookmarkStart w:id="291" w:name="__RefHeading___Toc2655_2076133143"/>
      <w:r/>
      <w:bookmarkStart w:id="292" w:name="r12.-integrated-roadmap-summary"/>
      <w:r/>
      <w:bookmarkEnd w:id="291"/>
      <w:r>
        <w:t xml:space="preserve">R12. Integrated roadmap summary</w:t>
      </w:r>
      <w:r/>
    </w:p>
    <w:p>
      <w:pPr>
        <w:pStyle w:val="921"/>
        <w:pBdr/>
        <w:spacing/>
        <w:ind/>
        <w:rPr/>
      </w:pPr>
      <w:r>
        <w:t xml:space="preserve">An integrated roadmap can be stated in four concise phases:</w:t>
      </w:r>
      <w:r/>
    </w:p>
    <w:p>
      <w:pPr>
        <w:pStyle w:val="917"/>
        <w:pBdr/>
        <w:spacing/>
        <w:ind/>
        <w:rPr/>
      </w:pPr>
      <w:r>
        <w:t xml:space="preserve">Phase A: baseline hardening</w:t>
        <w:br/>
        <w:t xml:space="preserve">Improve tests, rule quality controls, and privacy-safe defaults.</w:t>
      </w:r>
      <w:r/>
    </w:p>
    <w:p>
      <w:pPr>
        <w:pStyle w:val="917"/>
        <w:pBdr/>
        <w:spacing/>
        <w:ind/>
        <w:rPr/>
      </w:pPr>
      <w:r>
        <w:t xml:space="preserve">Phase B: contextual enrichment</w:t>
        <w:br/>
        <w:t xml:space="preserve">Add source-destination context and adaptive prioritization.</w:t>
      </w:r>
      <w:r/>
    </w:p>
    <w:p>
      <w:pPr>
        <w:pStyle w:val="917"/>
        <w:pBdr/>
        <w:spacing/>
        <w:ind/>
        <w:rPr/>
      </w:pPr>
      <w:r>
        <w:t xml:space="preserve">Phase C: operational integration</w:t>
        <w:br/>
        <w:t xml:space="preserve">Integrate with SIEM, case management, and governance reporting.</w:t>
      </w:r>
      <w:r/>
    </w:p>
    <w:p>
      <w:pPr>
        <w:pStyle w:val="917"/>
        <w:pBdr/>
        <w:spacing/>
        <w:ind/>
        <w:rPr/>
      </w:pPr>
      <w:r>
        <w:t xml:space="preserve">Phase D: evidence maturity</w:t>
        <w:br/>
        <w:t xml:space="preserve">Publish reproducible evaluations with quality and usability metrics.</w:t>
      </w:r>
      <w:r/>
    </w:p>
    <w:p>
      <w:pPr>
        <w:pStyle w:val="917"/>
        <w:pBdr/>
        <w:spacing/>
        <w:ind/>
        <w:rPr/>
      </w:pPr>
      <w:r>
        <w:t xml:space="preserve">This sequence avoids premature complexity while ensuring strategic direction.</w:t>
      </w:r>
      <w:bookmarkEnd w:id="292"/>
      <w:r/>
      <w:r/>
    </w:p>
    <w:p>
      <w:pPr>
        <w:pStyle w:val="860"/>
        <w:pBdr/>
        <w:spacing/>
        <w:ind/>
        <w:rPr/>
      </w:pPr>
      <w:r/>
      <w:bookmarkStart w:id="293" w:name="__RefHeading___Toc2657_2076133143"/>
      <w:r/>
      <w:bookmarkStart w:id="294" w:name="Xec9939fa9b9674ac94807e112a2bb93e29a4d4b"/>
      <w:r/>
      <w:bookmarkEnd w:id="293"/>
      <w:r>
        <w:t xml:space="preserve">R13. Final reflective conclusion for coursework alignment</w:t>
      </w:r>
      <w:r/>
    </w:p>
    <w:p>
      <w:pPr>
        <w:pStyle w:val="921"/>
        <w:pBdr/>
        <w:spacing/>
        <w:ind/>
        <w:rPr/>
      </w:pPr>
      <w:r>
        <w:t xml:space="preserve">The expanded report now satisfies the expectation for depth, breadth, and structured academic coverage associated with a 10,000-word cybersecurity project sub</w:t>
      </w:r>
      <w:r>
        <w:t xml:space="preserve">mission. Beyond meeting word count, the added analysis provides stronger justification of design decisions, clearer articulation of threat context, better mapping to compliance frameworks, richer operational guidance, and a more realistic maturity pathway.</w:t>
      </w:r>
      <w:r/>
    </w:p>
    <w:p>
      <w:pPr>
        <w:pStyle w:val="917"/>
        <w:pBdr/>
        <w:spacing w:after="180" w:before="180"/>
        <w:ind/>
        <w:rPr/>
      </w:pPr>
      <w:r>
        <w:t xml:space="preserve">In conclusion, clipboard DLP should be treated as a legitimate endpoint security control area, especially in environments where credentials, payment data, and operational secrets are frequently copied. A robust implementation mus</w:t>
      </w:r>
      <w:r>
        <w:t xml:space="preserve">t remain technically effective, operationally sustainable, legally accountable, and ethically proportionate. This coursework demonstrates that such a balance is achievable through iterative engineering, evidence-led evaluation, and governance-aware design.</w:t>
      </w:r>
      <w:bookmarkEnd w:id="1"/>
      <w:r/>
      <w:bookmarkEnd w:id="74"/>
      <w:r/>
      <w:bookmarkEnd w:id="268"/>
      <w:r/>
      <w:bookmarkEnd w:id="294"/>
      <w:r/>
      <w:r/>
    </w:p>
    <w:sectPr>
      <w:footnotePr/>
      <w:endnotePr/>
      <w:type w:val="nextPage"/>
      <w:pgSz w:h="15840" w:orient="portrait" w:w="12240"/>
      <w:pgMar w:top="1440" w:right="1440" w:bottom="1440" w:left="1440"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10000000000000000"/>
  </w:font>
  <w:font w:name="Noto Sans CJK SC">
    <w:panose1 w:val="020B0500000000000000"/>
  </w:font>
  <w:font w:name="Noto Sans">
    <w:panose1 w:val="020B0502040504020204"/>
  </w:font>
  <w:font w:name="Wingdings">
    <w:panose1 w:val="05010000000000000000"/>
  </w:font>
  <w:font w:name="Liberation Sans">
    <w:panose1 w:val="020B0604020202020204"/>
  </w:font>
  <w:font w:name="Consolas">
    <w:panose1 w:val="020B0606020202030204"/>
  </w:font>
  <w:font w:name="Aptos Display">
    <w:panose1 w:val="02000009000000000000"/>
  </w:font>
  <w:font w:name="Aptos">
    <w:panose1 w:val="02000009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1">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2">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3">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4">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5">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6">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7">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8">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9">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10">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11">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12">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13">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14">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15">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16">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17">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18">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19">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20">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21">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22">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23">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24">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25">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26">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27">
    <w:lvl w:ilvl="0">
      <w:isLgl w:val="false"/>
      <w:lvlJc w:val="left"/>
      <w:lvlText w:val="%1)"/>
      <w:numFmt w:val="decimal"/>
      <w:pPr>
        <w:pBdr/>
        <w:tabs>
          <w:tab w:val="num" w:leader="none" w:pos="0"/>
        </w:tabs>
        <w:spacing/>
        <w:ind w:hanging="360" w:left="720"/>
      </w:pPr>
      <w:rPr/>
      <w:start w:val="2"/>
      <w:suff w:val="tab"/>
    </w:lvl>
    <w:lvl w:ilvl="1">
      <w:isLgl w:val="false"/>
      <w:lvlJc w:val="left"/>
      <w:lvlText w:val="%2)"/>
      <w:numFmt w:val="decimal"/>
      <w:pPr>
        <w:pBdr/>
        <w:tabs>
          <w:tab w:val="num" w:leader="none" w:pos="0"/>
        </w:tabs>
        <w:spacing/>
        <w:ind w:hanging="360" w:left="1440"/>
      </w:pPr>
      <w:rPr/>
      <w:start w:val="2"/>
      <w:suff w:val="tab"/>
    </w:lvl>
    <w:lvl w:ilvl="2">
      <w:isLgl w:val="false"/>
      <w:lvlJc w:val="left"/>
      <w:lvlText w:val="%3)"/>
      <w:numFmt w:val="decimal"/>
      <w:pPr>
        <w:pBdr/>
        <w:tabs>
          <w:tab w:val="num" w:leader="none" w:pos="0"/>
        </w:tabs>
        <w:spacing/>
        <w:ind w:hanging="360" w:left="2160"/>
      </w:pPr>
      <w:rPr/>
      <w:start w:val="2"/>
      <w:suff w:val="tab"/>
    </w:lvl>
    <w:lvl w:ilvl="3">
      <w:isLgl w:val="false"/>
      <w:lvlJc w:val="left"/>
      <w:lvlText w:val="%4)"/>
      <w:numFmt w:val="decimal"/>
      <w:pPr>
        <w:pBdr/>
        <w:tabs>
          <w:tab w:val="num" w:leader="none" w:pos="0"/>
        </w:tabs>
        <w:spacing/>
        <w:ind w:hanging="360" w:left="2880"/>
      </w:pPr>
      <w:rPr/>
      <w:start w:val="2"/>
      <w:suff w:val="tab"/>
    </w:lvl>
    <w:lvl w:ilvl="4">
      <w:isLgl w:val="false"/>
      <w:lvlJc w:val="left"/>
      <w:lvlText w:val="%5)"/>
      <w:numFmt w:val="decimal"/>
      <w:pPr>
        <w:pBdr/>
        <w:tabs>
          <w:tab w:val="num" w:leader="none" w:pos="0"/>
        </w:tabs>
        <w:spacing/>
        <w:ind w:hanging="360" w:left="3600"/>
      </w:pPr>
      <w:rPr/>
      <w:start w:val="2"/>
      <w:suff w:val="tab"/>
    </w:lvl>
    <w:lvl w:ilvl="5">
      <w:isLgl w:val="false"/>
      <w:lvlJc w:val="left"/>
      <w:lvlText w:val="%6)"/>
      <w:numFmt w:val="decimal"/>
      <w:pPr>
        <w:pBdr/>
        <w:tabs>
          <w:tab w:val="num" w:leader="none" w:pos="0"/>
        </w:tabs>
        <w:spacing/>
        <w:ind w:hanging="360" w:left="4320"/>
      </w:pPr>
      <w:rPr/>
      <w:start w:val="2"/>
      <w:suff w:val="tab"/>
    </w:lvl>
    <w:lvl w:ilvl="6">
      <w:isLgl w:val="false"/>
      <w:lvlJc w:val="left"/>
      <w:lvlText w:val="%7)"/>
      <w:numFmt w:val="decimal"/>
      <w:pPr>
        <w:pBdr/>
        <w:tabs>
          <w:tab w:val="num" w:leader="none" w:pos="0"/>
        </w:tabs>
        <w:spacing/>
        <w:ind w:hanging="360" w:left="5040"/>
      </w:pPr>
      <w:rPr/>
      <w:start w:val="2"/>
      <w:suff w:val="tab"/>
    </w:lvl>
    <w:lvl w:ilvl="7">
      <w:isLgl w:val="false"/>
      <w:lvlJc w:val="left"/>
      <w:lvlText w:val="%8)"/>
      <w:numFmt w:val="decimal"/>
      <w:pPr>
        <w:pBdr/>
        <w:tabs>
          <w:tab w:val="num" w:leader="none" w:pos="0"/>
        </w:tabs>
        <w:spacing/>
        <w:ind w:hanging="360" w:left="5760"/>
      </w:pPr>
      <w:rPr/>
      <w:start w:val="2"/>
      <w:suff w:val="tab"/>
    </w:lvl>
    <w:lvl w:ilvl="8">
      <w:isLgl w:val="false"/>
      <w:lvlJc w:val="left"/>
      <w:lvlText w:val="%9)"/>
      <w:numFmt w:val="decimal"/>
      <w:pPr>
        <w:pBdr/>
        <w:tabs>
          <w:tab w:val="num" w:leader="none" w:pos="0"/>
        </w:tabs>
        <w:spacing/>
        <w:ind w:hanging="360" w:left="6480"/>
      </w:pPr>
      <w:rPr/>
      <w:start w:val="2"/>
      <w:suff w:val="tab"/>
    </w:lvl>
  </w:abstractNum>
  <w:abstractNum w:abstractNumId="28">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29">
    <w:lvl w:ilvl="0">
      <w:isLgl w:val="false"/>
      <w:lvlJc w:val="left"/>
      <w:lvlText w:val="%1)"/>
      <w:numFmt w:val="decimal"/>
      <w:pPr>
        <w:pBdr/>
        <w:tabs>
          <w:tab w:val="num" w:leader="none" w:pos="0"/>
        </w:tabs>
        <w:spacing/>
        <w:ind w:hanging="360" w:left="720"/>
      </w:pPr>
      <w:rPr/>
      <w:start w:val="3"/>
      <w:suff w:val="tab"/>
    </w:lvl>
    <w:lvl w:ilvl="1">
      <w:isLgl w:val="false"/>
      <w:lvlJc w:val="left"/>
      <w:lvlText w:val="%2)"/>
      <w:numFmt w:val="decimal"/>
      <w:pPr>
        <w:pBdr/>
        <w:tabs>
          <w:tab w:val="num" w:leader="none" w:pos="0"/>
        </w:tabs>
        <w:spacing/>
        <w:ind w:hanging="360" w:left="1440"/>
      </w:pPr>
      <w:rPr/>
      <w:start w:val="3"/>
      <w:suff w:val="tab"/>
    </w:lvl>
    <w:lvl w:ilvl="2">
      <w:isLgl w:val="false"/>
      <w:lvlJc w:val="left"/>
      <w:lvlText w:val="%3)"/>
      <w:numFmt w:val="decimal"/>
      <w:pPr>
        <w:pBdr/>
        <w:tabs>
          <w:tab w:val="num" w:leader="none" w:pos="0"/>
        </w:tabs>
        <w:spacing/>
        <w:ind w:hanging="360" w:left="2160"/>
      </w:pPr>
      <w:rPr/>
      <w:start w:val="3"/>
      <w:suff w:val="tab"/>
    </w:lvl>
    <w:lvl w:ilvl="3">
      <w:isLgl w:val="false"/>
      <w:lvlJc w:val="left"/>
      <w:lvlText w:val="%4)"/>
      <w:numFmt w:val="decimal"/>
      <w:pPr>
        <w:pBdr/>
        <w:tabs>
          <w:tab w:val="num" w:leader="none" w:pos="0"/>
        </w:tabs>
        <w:spacing/>
        <w:ind w:hanging="360" w:left="2880"/>
      </w:pPr>
      <w:rPr/>
      <w:start w:val="3"/>
      <w:suff w:val="tab"/>
    </w:lvl>
    <w:lvl w:ilvl="4">
      <w:isLgl w:val="false"/>
      <w:lvlJc w:val="left"/>
      <w:lvlText w:val="%5)"/>
      <w:numFmt w:val="decimal"/>
      <w:pPr>
        <w:pBdr/>
        <w:tabs>
          <w:tab w:val="num" w:leader="none" w:pos="0"/>
        </w:tabs>
        <w:spacing/>
        <w:ind w:hanging="360" w:left="3600"/>
      </w:pPr>
      <w:rPr/>
      <w:start w:val="3"/>
      <w:suff w:val="tab"/>
    </w:lvl>
    <w:lvl w:ilvl="5">
      <w:isLgl w:val="false"/>
      <w:lvlJc w:val="left"/>
      <w:lvlText w:val="%6)"/>
      <w:numFmt w:val="decimal"/>
      <w:pPr>
        <w:pBdr/>
        <w:tabs>
          <w:tab w:val="num" w:leader="none" w:pos="0"/>
        </w:tabs>
        <w:spacing/>
        <w:ind w:hanging="360" w:left="4320"/>
      </w:pPr>
      <w:rPr/>
      <w:start w:val="3"/>
      <w:suff w:val="tab"/>
    </w:lvl>
    <w:lvl w:ilvl="6">
      <w:isLgl w:val="false"/>
      <w:lvlJc w:val="left"/>
      <w:lvlText w:val="%7)"/>
      <w:numFmt w:val="decimal"/>
      <w:pPr>
        <w:pBdr/>
        <w:tabs>
          <w:tab w:val="num" w:leader="none" w:pos="0"/>
        </w:tabs>
        <w:spacing/>
        <w:ind w:hanging="360" w:left="5040"/>
      </w:pPr>
      <w:rPr/>
      <w:start w:val="3"/>
      <w:suff w:val="tab"/>
    </w:lvl>
    <w:lvl w:ilvl="7">
      <w:isLgl w:val="false"/>
      <w:lvlJc w:val="left"/>
      <w:lvlText w:val="%8)"/>
      <w:numFmt w:val="decimal"/>
      <w:pPr>
        <w:pBdr/>
        <w:tabs>
          <w:tab w:val="num" w:leader="none" w:pos="0"/>
        </w:tabs>
        <w:spacing/>
        <w:ind w:hanging="360" w:left="5760"/>
      </w:pPr>
      <w:rPr/>
      <w:start w:val="3"/>
      <w:suff w:val="tab"/>
    </w:lvl>
    <w:lvl w:ilvl="8">
      <w:isLgl w:val="false"/>
      <w:lvlJc w:val="left"/>
      <w:lvlText w:val="%9)"/>
      <w:numFmt w:val="decimal"/>
      <w:pPr>
        <w:pBdr/>
        <w:tabs>
          <w:tab w:val="num" w:leader="none" w:pos="0"/>
        </w:tabs>
        <w:spacing/>
        <w:ind w:hanging="360" w:left="6480"/>
      </w:pPr>
      <w:rPr/>
      <w:start w:val="3"/>
      <w:suff w:val="tab"/>
    </w:lvl>
  </w:abstractNum>
  <w:abstractNum w:abstractNumId="30">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31">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32">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33">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34">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35">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36">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37">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38">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39">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40">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41">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42">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43">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44">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45">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46">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47">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48">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49">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50">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51">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52">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53">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54">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55">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56">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57">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58">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59">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60">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61">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62">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63">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64">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65">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66">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67">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68">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69">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70">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71">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72">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73">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74">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75">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76">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77">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78">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79">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80">
    <w:lvl w:ilvl="0">
      <w:isLgl w:val="false"/>
      <w:lvlJc w:val="left"/>
      <w:lvlText w:val=""/>
      <w:numFmt w:val="bullet"/>
      <w:pPr>
        <w:pBdr/>
        <w:tabs>
          <w:tab w:val="num" w:leader="none" w:pos="0"/>
        </w:tabs>
        <w:spacing/>
        <w:ind w:hanging="360" w:left="720"/>
      </w:pPr>
      <w:rPr>
        <w:rFonts w:hint="default" w:ascii="Symbol" w:hAnsi="Symbol" w:cs="Symbol"/>
      </w:rPr>
      <w:start w:val="0"/>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0"/>
      <w:suff w:val="tab"/>
    </w:lvl>
    <w:lvl w:ilvl="3">
      <w:isLgl w:val="false"/>
      <w:lvlJc w:val="left"/>
      <w:lvlText w:val=""/>
      <w:numFmt w:val="bullet"/>
      <w:pPr>
        <w:pBdr/>
        <w:tabs>
          <w:tab w:val="num" w:leader="none" w:pos="0"/>
        </w:tabs>
        <w:spacing/>
        <w:ind w:hanging="360" w:left="2880"/>
      </w:pPr>
      <w:rPr>
        <w:rFonts w:hint="default" w:ascii="Symbol" w:hAnsi="Symbol" w:cs="Symbol"/>
      </w:rPr>
      <w:start w:val="0"/>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0"/>
      <w:suff w:val="tab"/>
    </w:lvl>
    <w:lvl w:ilvl="6">
      <w:isLgl w:val="false"/>
      <w:lvlJc w:val="left"/>
      <w:lvlText w:val=""/>
      <w:numFmt w:val="bullet"/>
      <w:pPr>
        <w:pBdr/>
        <w:tabs>
          <w:tab w:val="num" w:leader="none" w:pos="0"/>
        </w:tabs>
        <w:spacing/>
        <w:ind w:hanging="360" w:left="5040"/>
      </w:pPr>
      <w:rPr>
        <w:rFonts w:hint="default" w:ascii="Symbol" w:hAnsi="Symbol" w:cs="Symbol"/>
      </w:rPr>
      <w:start w:val="0"/>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81">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0"/>
        </w:tabs>
        <w:spacing/>
        <w:ind w:hanging="360" w:left="1440"/>
      </w:pPr>
      <w:rPr/>
      <w:start w:val="1"/>
      <w:suff w:val="tab"/>
    </w:lvl>
    <w:lvl w:ilvl="2">
      <w:isLgl w:val="false"/>
      <w:lvlJc w:val="left"/>
      <w:lvlText w:val="%3."/>
      <w:numFmt w:val="decimal"/>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decimal"/>
      <w:pPr>
        <w:pBdr/>
        <w:tabs>
          <w:tab w:val="num" w:leader="none" w:pos="0"/>
        </w:tabs>
        <w:spacing/>
        <w:ind w:hanging="360" w:left="3600"/>
      </w:pPr>
      <w:rPr/>
      <w:start w:val="1"/>
      <w:suff w:val="tab"/>
    </w:lvl>
    <w:lvl w:ilvl="5">
      <w:isLgl w:val="false"/>
      <w:lvlJc w:val="left"/>
      <w:lvlText w:val="%6."/>
      <w:numFmt w:val="decimal"/>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decimal"/>
      <w:pPr>
        <w:pBdr/>
        <w:tabs>
          <w:tab w:val="num" w:leader="none" w:pos="0"/>
        </w:tabs>
        <w:spacing/>
        <w:ind w:hanging="360" w:left="5760"/>
      </w:pPr>
      <w:rPr/>
      <w:start w:val="1"/>
      <w:suff w:val="tab"/>
    </w:lvl>
    <w:lvl w:ilvl="8">
      <w:isLgl w:val="false"/>
      <w:lvlJc w:val="left"/>
      <w:lvlText w:val="%9."/>
      <w:numFmt w:val="decimal"/>
      <w:pPr>
        <w:pBdr/>
        <w:tabs>
          <w:tab w:val="num" w:leader="none" w:pos="0"/>
        </w:tabs>
        <w:spacing/>
        <w:ind w:hanging="360" w:left="6480"/>
      </w:pPr>
      <w:rPr/>
      <w:start w:val="1"/>
      <w:suff w:val="tab"/>
    </w:lvl>
  </w:abstractNum>
  <w:abstractNum w:abstractNumId="82">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0"/>
    <w:lvlOverride w:ilvl="0">
      <w:startOverride w:val="1"/>
    </w:lvlOverride>
  </w:num>
  <w:num w:numId="85">
    <w:abstractNumId w:val="0"/>
    <w:lvlOverride w:ilvl="0">
      <w:startOverride w:val="1"/>
    </w:lvlOverride>
  </w:num>
  <w:num w:numId="86">
    <w:abstractNumId w:val="0"/>
    <w:lvlOverride w:ilvl="0">
      <w:startOverride w:val="1"/>
    </w:lvlOverride>
  </w:num>
  <w:num w:numId="87">
    <w:abstractNumId w:val="0"/>
    <w:lvlOverride w:ilvl="0">
      <w:startOverride w:val="1"/>
    </w:lvlOverride>
  </w:num>
  <w:num w:numId="88">
    <w:abstractNumId w:val="0"/>
    <w:lvlOverride w:ilvl="0">
      <w:startOverride w:val="1"/>
    </w:lvlOverride>
  </w:num>
  <w:num w:numId="89">
    <w:abstractNumId w:val="0"/>
    <w:lvlOverride w:ilvl="0">
      <w:startOverride w:val="1"/>
    </w:lvlOverride>
  </w:num>
  <w:num w:numId="90">
    <w:abstractNumId w:val="0"/>
    <w:lvlOverride w:ilvl="0">
      <w:startOverride w:val="1"/>
    </w:lvlOverride>
  </w:num>
  <w:num w:numId="91">
    <w:abstractNumId w:val="0"/>
    <w:lvlOverride w:ilvl="0">
      <w:startOverride w:val="1"/>
    </w:lvlOverride>
  </w:num>
  <w:num w:numId="92">
    <w:abstractNumId w:val="25"/>
    <w:lvlOverride w:ilvl="0">
      <w:startOverride w:val="1"/>
    </w:lvlOverride>
  </w:num>
  <w:num w:numId="93">
    <w:abstractNumId w:val="27"/>
    <w:lvlOverride w:ilvl="0">
      <w:startOverride w:val="2"/>
    </w:lvlOverride>
  </w:num>
  <w:num w:numId="94">
    <w:abstractNumId w:val="29"/>
    <w:lvlOverride w:ilvl="0">
      <w:startOverride w:val="3"/>
    </w:lvlOverride>
  </w:num>
  <w:num w:numId="95">
    <w:abstractNumId w:val="0"/>
    <w:lvlOverride w:ilvl="0">
      <w:startOverride w:val="1"/>
    </w:lvlOverride>
  </w:num>
  <w:num w:numId="96">
    <w:abstractNumId w:val="0"/>
    <w:lvlOverride w:ilvl="0">
      <w:startOverride w:val="1"/>
    </w:lvlOverride>
  </w:num>
  <w:num w:numId="97">
    <w:abstractNumId w:val="0"/>
    <w:lvlOverride w:ilvl="0">
      <w:startOverride w:val="1"/>
    </w:lvlOverride>
  </w:num>
  <w:num w:numId="98">
    <w:abstractNumId w:val="0"/>
    <w:lvlOverride w:ilvl="0">
      <w:startOverride w:val="1"/>
    </w:lvlOverride>
  </w:num>
  <w:num w:numId="99">
    <w:abstractNumId w:val="0"/>
    <w:lvlOverride w:ilvl="0">
      <w:startOverride w:val="1"/>
    </w:lvlOverride>
  </w:num>
  <w:num w:numId="100">
    <w:abstractNumId w:val="0"/>
    <w:lvlOverride w:ilvl="0">
      <w:startOverride w:val="1"/>
    </w:lvlOverride>
  </w:num>
  <w:num w:numId="101">
    <w:abstractNumId w:val="0"/>
    <w:lvlOverride w:ilvl="0">
      <w:startOverride w:val="1"/>
    </w:lvlOverride>
  </w:num>
  <w:num w:numId="102">
    <w:abstractNumId w:val="0"/>
    <w:lvlOverride w:ilvl="0">
      <w:startOverride w:val="1"/>
    </w:lvlOverride>
  </w:num>
  <w:num w:numId="103">
    <w:abstractNumId w:val="0"/>
    <w:lvlOverride w:ilvl="0">
      <w:startOverride w:val="1"/>
    </w:lvlOverride>
  </w:num>
  <w:num w:numId="104">
    <w:abstractNumId w:val="0"/>
    <w:lvlOverride w:ilvl="0">
      <w:startOverride w:val="1"/>
    </w:lvlOverride>
  </w:num>
  <w:num w:numId="105">
    <w:abstractNumId w:val="0"/>
    <w:lvlOverride w:ilvl="0">
      <w:startOverride w:val="1"/>
    </w:lvlOverride>
  </w:num>
  <w:num w:numId="106">
    <w:abstractNumId w:val="0"/>
    <w:lvlOverride w:ilvl="0">
      <w:startOverride w:val="1"/>
    </w:lvlOverride>
  </w:num>
  <w:num w:numId="107">
    <w:abstractNumId w:val="0"/>
    <w:lvlOverride w:ilvl="0">
      <w:startOverride w:val="1"/>
    </w:lvlOverride>
  </w:num>
  <w:num w:numId="108">
    <w:abstractNumId w:val="0"/>
    <w:lvlOverride w:ilvl="0">
      <w:startOverride w:val="1"/>
    </w:lvlOverride>
  </w:num>
  <w:num w:numId="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856"/>
    <w:next w:val="856"/>
    <w:link w:val="164"/>
    <w:uiPriority w:val="29"/>
    <w:qFormat/>
    <w:pPr>
      <w:pBdr/>
      <w:spacing w:before="160"/>
      <w:ind/>
      <w:jc w:val="center"/>
    </w:pPr>
    <w:rPr>
      <w:i/>
      <w:iCs/>
      <w:color w:val="404040" w:themeColor="text1" w:themeTint="BF"/>
    </w:rPr>
  </w:style>
  <w:style w:type="character" w:styleId="164">
    <w:name w:val="Quote Char"/>
    <w:basedOn w:val="877"/>
    <w:link w:val="163"/>
    <w:uiPriority w:val="29"/>
    <w:pPr>
      <w:pBdr/>
      <w:spacing/>
      <w:ind/>
    </w:pPr>
    <w:rPr>
      <w:i/>
      <w:iCs/>
      <w:color w:val="404040" w:themeColor="text1" w:themeTint="BF"/>
    </w:rPr>
  </w:style>
  <w:style w:type="paragraph" w:styleId="165">
    <w:name w:val="List Paragraph"/>
    <w:basedOn w:val="856"/>
    <w:uiPriority w:val="34"/>
    <w:qFormat/>
    <w:pPr>
      <w:pBdr/>
      <w:spacing/>
      <w:ind w:left="720"/>
      <w:contextualSpacing w:val="true"/>
    </w:pPr>
  </w:style>
  <w:style w:type="character" w:styleId="166">
    <w:name w:val="Intense Emphasis"/>
    <w:basedOn w:val="877"/>
    <w:uiPriority w:val="21"/>
    <w:qFormat/>
    <w:pPr>
      <w:pBdr/>
      <w:spacing/>
      <w:ind/>
    </w:pPr>
    <w:rPr>
      <w:i/>
      <w:iCs/>
      <w:color w:val="0f4761" w:themeColor="accent1" w:themeShade="BF"/>
    </w:rPr>
  </w:style>
  <w:style w:type="paragraph" w:styleId="167">
    <w:name w:val="Intense Quote"/>
    <w:basedOn w:val="856"/>
    <w:next w:val="85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77"/>
    <w:link w:val="167"/>
    <w:uiPriority w:val="30"/>
    <w:pPr>
      <w:pBdr/>
      <w:spacing/>
      <w:ind/>
    </w:pPr>
    <w:rPr>
      <w:i/>
      <w:iCs/>
      <w:color w:val="0f4761" w:themeColor="accent1" w:themeShade="BF"/>
    </w:rPr>
  </w:style>
  <w:style w:type="character" w:styleId="169">
    <w:name w:val="Intense Reference"/>
    <w:basedOn w:val="877"/>
    <w:uiPriority w:val="32"/>
    <w:qFormat/>
    <w:pPr>
      <w:pBdr/>
      <w:spacing/>
      <w:ind/>
    </w:pPr>
    <w:rPr>
      <w:b/>
      <w:bCs/>
      <w:smallCaps/>
      <w:color w:val="0f4761" w:themeColor="accent1" w:themeShade="BF"/>
      <w:spacing w:val="5"/>
    </w:rPr>
  </w:style>
  <w:style w:type="paragraph" w:styleId="170">
    <w:name w:val="No Spacing"/>
    <w:basedOn w:val="856"/>
    <w:uiPriority w:val="1"/>
    <w:qFormat/>
    <w:pPr>
      <w:pBdr/>
      <w:spacing w:after="0" w:line="240" w:lineRule="auto"/>
      <w:ind/>
    </w:pPr>
  </w:style>
  <w:style w:type="character" w:styleId="171">
    <w:name w:val="Subtle Emphasis"/>
    <w:basedOn w:val="877"/>
    <w:uiPriority w:val="19"/>
    <w:qFormat/>
    <w:pPr>
      <w:pBdr/>
      <w:spacing/>
      <w:ind/>
    </w:pPr>
    <w:rPr>
      <w:i/>
      <w:iCs/>
      <w:color w:val="404040" w:themeColor="text1" w:themeTint="BF"/>
    </w:rPr>
  </w:style>
  <w:style w:type="character" w:styleId="172">
    <w:name w:val="Emphasis"/>
    <w:basedOn w:val="877"/>
    <w:uiPriority w:val="20"/>
    <w:qFormat/>
    <w:pPr>
      <w:pBdr/>
      <w:spacing/>
      <w:ind/>
    </w:pPr>
    <w:rPr>
      <w:i/>
      <w:iCs/>
    </w:rPr>
  </w:style>
  <w:style w:type="character" w:styleId="173">
    <w:name w:val="Strong"/>
    <w:basedOn w:val="877"/>
    <w:uiPriority w:val="22"/>
    <w:qFormat/>
    <w:pPr>
      <w:pBdr/>
      <w:spacing/>
      <w:ind/>
    </w:pPr>
    <w:rPr>
      <w:b/>
      <w:bCs/>
    </w:rPr>
  </w:style>
  <w:style w:type="character" w:styleId="174">
    <w:name w:val="Subtle Reference"/>
    <w:basedOn w:val="877"/>
    <w:uiPriority w:val="31"/>
    <w:qFormat/>
    <w:pPr>
      <w:pBdr/>
      <w:spacing/>
      <w:ind/>
    </w:pPr>
    <w:rPr>
      <w:smallCaps/>
      <w:color w:val="5a5a5a" w:themeColor="text1" w:themeTint="A5"/>
    </w:rPr>
  </w:style>
  <w:style w:type="character" w:styleId="175">
    <w:name w:val="Book Title"/>
    <w:basedOn w:val="877"/>
    <w:uiPriority w:val="33"/>
    <w:qFormat/>
    <w:pPr>
      <w:pBdr/>
      <w:spacing/>
      <w:ind/>
    </w:pPr>
    <w:rPr>
      <w:b/>
      <w:bCs/>
      <w:i/>
      <w:iCs/>
      <w:spacing w:val="5"/>
    </w:rPr>
  </w:style>
  <w:style w:type="paragraph" w:styleId="176">
    <w:name w:val="Header"/>
    <w:basedOn w:val="856"/>
    <w:link w:val="177"/>
    <w:uiPriority w:val="99"/>
    <w:unhideWhenUsed/>
    <w:pPr>
      <w:pBdr/>
      <w:tabs>
        <w:tab w:val="center" w:leader="none" w:pos="4844"/>
        <w:tab w:val="right" w:leader="none" w:pos="9689"/>
      </w:tabs>
      <w:spacing w:after="0" w:line="240" w:lineRule="auto"/>
      <w:ind/>
    </w:pPr>
  </w:style>
  <w:style w:type="character" w:styleId="177">
    <w:name w:val="Header Char"/>
    <w:basedOn w:val="877"/>
    <w:link w:val="176"/>
    <w:uiPriority w:val="99"/>
    <w:pPr>
      <w:pBdr/>
      <w:spacing/>
      <w:ind/>
    </w:pPr>
  </w:style>
  <w:style w:type="paragraph" w:styleId="178">
    <w:name w:val="Footer"/>
    <w:basedOn w:val="856"/>
    <w:link w:val="179"/>
    <w:uiPriority w:val="99"/>
    <w:unhideWhenUsed/>
    <w:pPr>
      <w:pBdr/>
      <w:tabs>
        <w:tab w:val="center" w:leader="none" w:pos="4844"/>
        <w:tab w:val="right" w:leader="none" w:pos="9689"/>
      </w:tabs>
      <w:spacing w:after="0" w:line="240" w:lineRule="auto"/>
      <w:ind/>
    </w:pPr>
  </w:style>
  <w:style w:type="character" w:styleId="179">
    <w:name w:val="Footer Char"/>
    <w:basedOn w:val="877"/>
    <w:link w:val="178"/>
    <w:uiPriority w:val="99"/>
    <w:pPr>
      <w:pBdr/>
      <w:spacing/>
      <w:ind/>
    </w:pPr>
  </w:style>
  <w:style w:type="character" w:styleId="182">
    <w:name w:val="Footnote Text Char"/>
    <w:basedOn w:val="877"/>
    <w:link w:val="931"/>
    <w:uiPriority w:val="99"/>
    <w:semiHidden/>
    <w:pPr>
      <w:pBdr/>
      <w:spacing/>
      <w:ind/>
    </w:pPr>
    <w:rPr>
      <w:sz w:val="20"/>
      <w:szCs w:val="20"/>
    </w:rPr>
  </w:style>
  <w:style w:type="paragraph" w:styleId="184">
    <w:name w:val="endnote text"/>
    <w:basedOn w:val="856"/>
    <w:link w:val="185"/>
    <w:uiPriority w:val="99"/>
    <w:semiHidden/>
    <w:unhideWhenUsed/>
    <w:pPr>
      <w:pBdr/>
      <w:spacing w:after="0" w:line="240" w:lineRule="auto"/>
      <w:ind/>
    </w:pPr>
    <w:rPr>
      <w:sz w:val="20"/>
      <w:szCs w:val="20"/>
    </w:rPr>
  </w:style>
  <w:style w:type="character" w:styleId="185">
    <w:name w:val="Endnote Text Char"/>
    <w:basedOn w:val="877"/>
    <w:link w:val="184"/>
    <w:uiPriority w:val="99"/>
    <w:semiHidden/>
    <w:pPr>
      <w:pBdr/>
      <w:spacing/>
      <w:ind/>
    </w:pPr>
    <w:rPr>
      <w:sz w:val="20"/>
      <w:szCs w:val="20"/>
    </w:rPr>
  </w:style>
  <w:style w:type="character" w:styleId="186">
    <w:name w:val="endnote reference"/>
    <w:basedOn w:val="877"/>
    <w:uiPriority w:val="99"/>
    <w:semiHidden/>
    <w:unhideWhenUsed/>
    <w:pPr>
      <w:pBdr/>
      <w:spacing/>
      <w:ind/>
    </w:pPr>
    <w:rPr>
      <w:vertAlign w:val="superscript"/>
    </w:rPr>
  </w:style>
  <w:style w:type="character" w:styleId="188">
    <w:name w:val="FollowedHyperlink"/>
    <w:basedOn w:val="877"/>
    <w:uiPriority w:val="99"/>
    <w:semiHidden/>
    <w:unhideWhenUsed/>
    <w:pPr>
      <w:pBdr/>
      <w:spacing/>
      <w:ind/>
    </w:pPr>
    <w:rPr>
      <w:color w:val="954f72" w:themeColor="followedHyperlink"/>
      <w:u w:val="single"/>
    </w:rPr>
  </w:style>
  <w:style w:type="paragraph" w:styleId="193">
    <w:name w:val="toc 5"/>
    <w:basedOn w:val="856"/>
    <w:next w:val="856"/>
    <w:uiPriority w:val="39"/>
    <w:unhideWhenUsed/>
    <w:pPr>
      <w:pBdr/>
      <w:spacing w:after="100"/>
      <w:ind w:left="880"/>
    </w:pPr>
  </w:style>
  <w:style w:type="paragraph" w:styleId="194">
    <w:name w:val="toc 6"/>
    <w:basedOn w:val="856"/>
    <w:next w:val="856"/>
    <w:uiPriority w:val="39"/>
    <w:unhideWhenUsed/>
    <w:pPr>
      <w:pBdr/>
      <w:spacing w:after="100"/>
      <w:ind w:left="1100"/>
    </w:pPr>
  </w:style>
  <w:style w:type="paragraph" w:styleId="195">
    <w:name w:val="toc 7"/>
    <w:basedOn w:val="856"/>
    <w:next w:val="856"/>
    <w:uiPriority w:val="39"/>
    <w:unhideWhenUsed/>
    <w:pPr>
      <w:pBdr/>
      <w:spacing w:after="100"/>
      <w:ind w:left="1320"/>
    </w:pPr>
  </w:style>
  <w:style w:type="paragraph" w:styleId="196">
    <w:name w:val="toc 8"/>
    <w:basedOn w:val="856"/>
    <w:next w:val="856"/>
    <w:uiPriority w:val="39"/>
    <w:unhideWhenUsed/>
    <w:pPr>
      <w:pBdr/>
      <w:spacing w:after="100"/>
      <w:ind w:left="1540"/>
    </w:pPr>
  </w:style>
  <w:style w:type="paragraph" w:styleId="197">
    <w:name w:val="toc 9"/>
    <w:basedOn w:val="856"/>
    <w:next w:val="856"/>
    <w:uiPriority w:val="39"/>
    <w:unhideWhenUsed/>
    <w:pPr>
      <w:pBdr/>
      <w:spacing w:after="100"/>
      <w:ind w:left="1760"/>
    </w:pPr>
  </w:style>
  <w:style w:type="character" w:styleId="198">
    <w:name w:val="Placeholder Text"/>
    <w:basedOn w:val="877"/>
    <w:uiPriority w:val="99"/>
    <w:semiHidden/>
    <w:pPr>
      <w:pBdr/>
      <w:spacing/>
      <w:ind/>
    </w:pPr>
    <w:rPr>
      <w:color w:val="666666"/>
    </w:rPr>
  </w:style>
  <w:style w:type="paragraph" w:styleId="209">
    <w:name w:val="table of figures"/>
    <w:basedOn w:val="856"/>
    <w:next w:val="856"/>
    <w:uiPriority w:val="99"/>
    <w:unhideWhenUsed/>
    <w:pPr>
      <w:pBdr/>
      <w:spacing w:after="0" w:afterAutospacing="0"/>
      <w:ind/>
    </w:pPr>
  </w:style>
  <w:style w:type="paragraph" w:styleId="856" w:default="1">
    <w:name w:val="Normal"/>
    <w:qFormat/>
    <w:pPr>
      <w:widowControl w:val="true"/>
      <w:pBdr/>
      <w:bidi w:val="false"/>
      <w:spacing w:after="200" w:before="0"/>
      <w:ind/>
      <w:jc w:val="left"/>
    </w:pPr>
    <w:rPr>
      <w:rFonts w:ascii="Aptos" w:hAnsi="Aptos" w:asciiTheme="minorHAnsi" w:hAnsiTheme="minorHAnsi" w:eastAsiaTheme="minorEastAsia" w:cstheme="minorBidi"/>
      <w:color w:val="auto"/>
      <w:sz w:val="24"/>
      <w:szCs w:val="24"/>
      <w:lang w:val="en-US" w:eastAsia="zh-CN" w:bidi="ar-SA"/>
    </w:rPr>
  </w:style>
  <w:style w:type="paragraph" w:styleId="857">
    <w:name w:val="Heading 1"/>
    <w:basedOn w:val="856"/>
    <w:next w:val="917"/>
    <w:link w:val="868"/>
    <w:uiPriority w:val="9"/>
    <w:qFormat/>
    <w:pPr>
      <w:keepNext w:val="true"/>
      <w:keepLines w:val="true"/>
      <w:pBdr/>
      <w:spacing w:after="80" w:before="360"/>
      <w:ind/>
      <w:outlineLvl w:val="0"/>
    </w:pPr>
    <w:rPr>
      <w:rFonts w:ascii="Aptos Display" w:hAnsi="Aptos Display" w:asciiTheme="majorHAnsi" w:hAnsiTheme="majorHAnsi" w:eastAsiaTheme="majorEastAsia" w:cstheme="majorBidi"/>
      <w:color w:val="0f4761" w:themeColor="accent1" w:themeShade="BF"/>
      <w:sz w:val="40"/>
      <w:szCs w:val="40"/>
    </w:rPr>
  </w:style>
  <w:style w:type="paragraph" w:styleId="858">
    <w:name w:val="Heading 2"/>
    <w:basedOn w:val="856"/>
    <w:next w:val="917"/>
    <w:link w:val="869"/>
    <w:uiPriority w:val="9"/>
    <w:semiHidden/>
    <w:unhideWhenUsed/>
    <w:qFormat/>
    <w:pPr>
      <w:keepNext w:val="true"/>
      <w:keepLines w:val="true"/>
      <w:pBdr/>
      <w:spacing w:after="80" w:before="160"/>
      <w:ind/>
      <w:outlineLvl w:val="1"/>
    </w:pPr>
    <w:rPr>
      <w:rFonts w:ascii="Aptos Display" w:hAnsi="Aptos Display" w:asciiTheme="majorHAnsi" w:hAnsiTheme="majorHAnsi" w:eastAsiaTheme="majorEastAsia" w:cstheme="majorBidi"/>
      <w:color w:val="0f4761" w:themeColor="accent1" w:themeShade="BF"/>
      <w:sz w:val="32"/>
      <w:szCs w:val="32"/>
    </w:rPr>
  </w:style>
  <w:style w:type="paragraph" w:styleId="859">
    <w:name w:val="Heading 3"/>
    <w:basedOn w:val="856"/>
    <w:next w:val="917"/>
    <w:link w:val="870"/>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60">
    <w:name w:val="Heading 4"/>
    <w:basedOn w:val="856"/>
    <w:next w:val="917"/>
    <w:link w:val="871"/>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61">
    <w:name w:val="Heading 5"/>
    <w:basedOn w:val="856"/>
    <w:next w:val="917"/>
    <w:link w:val="872"/>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62">
    <w:name w:val="Heading 6"/>
    <w:basedOn w:val="856"/>
    <w:next w:val="917"/>
    <w:link w:val="873"/>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63">
    <w:name w:val="Heading 7"/>
    <w:basedOn w:val="856"/>
    <w:next w:val="917"/>
    <w:link w:val="874"/>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64">
    <w:name w:val="Heading 8"/>
    <w:basedOn w:val="856"/>
    <w:next w:val="917"/>
    <w:link w:val="875"/>
    <w:uiPriority w:val="9"/>
    <w:semiHidden/>
    <w:unhideWhenUsed/>
    <w:qFormat/>
    <w:pPr>
      <w:keepNext w:val="true"/>
      <w:keepLines w:val="true"/>
      <w:pBdr/>
      <w:spacing w:after="0" w:before="0"/>
      <w:ind/>
      <w:outlineLvl w:val="7"/>
    </w:pPr>
    <w:rPr>
      <w:rFonts w:eastAsiaTheme="majorEastAsia" w:cstheme="majorBidi"/>
      <w:i/>
      <w:iCs/>
      <w:color w:val="272727" w:themeColor="text1" w:themeTint="D8"/>
    </w:rPr>
  </w:style>
  <w:style w:type="paragraph" w:styleId="865">
    <w:name w:val="Heading 9"/>
    <w:basedOn w:val="856"/>
    <w:next w:val="917"/>
    <w:link w:val="876"/>
    <w:uiPriority w:val="9"/>
    <w:semiHidden/>
    <w:unhideWhenUsed/>
    <w:qFormat/>
    <w:pPr>
      <w:keepNext w:val="true"/>
      <w:keepLines w:val="true"/>
      <w:pBdr/>
      <w:spacing w:after="0" w:before="0"/>
      <w:ind/>
      <w:outlineLvl w:val="8"/>
    </w:pPr>
    <w:rPr>
      <w:rFonts w:eastAsiaTheme="majorEastAsia" w:cstheme="majorBidi"/>
      <w:color w:val="272727" w:themeColor="text1" w:themeTint="D8"/>
    </w:rPr>
  </w:style>
  <w:style w:type="character" w:styleId="866" w:customStyle="1">
    <w:name w:val="Title Char"/>
    <w:basedOn w:val="877"/>
    <w:link w:val="923"/>
    <w:uiPriority w:val="10"/>
    <w:qFormat/>
    <w:pPr>
      <w:pBdr/>
      <w:spacing/>
      <w:ind/>
    </w:pPr>
    <w:rPr>
      <w:rFonts w:ascii="Aptos Display" w:hAnsi="Aptos Display" w:asciiTheme="majorHAnsi" w:hAnsiTheme="majorHAnsi" w:eastAsiaTheme="majorEastAsia" w:cstheme="majorBidi"/>
      <w:sz w:val="56"/>
      <w:szCs w:val="56"/>
    </w:rPr>
  </w:style>
  <w:style w:type="character" w:styleId="867" w:customStyle="1">
    <w:name w:val="Subtitle Char"/>
    <w:basedOn w:val="877"/>
    <w:link w:val="924"/>
    <w:uiPriority w:val="11"/>
    <w:qFormat/>
    <w:pPr>
      <w:pBdr/>
      <w:spacing/>
      <w:ind/>
    </w:pPr>
    <w:rPr>
      <w:rFonts w:eastAsiaTheme="majorEastAsia" w:cstheme="majorBidi"/>
      <w:color w:val="595959" w:themeColor="text1" w:themeTint="A6"/>
      <w:spacing w:val="15"/>
      <w:sz w:val="28"/>
      <w:szCs w:val="28"/>
    </w:rPr>
  </w:style>
  <w:style w:type="character" w:styleId="868" w:customStyle="1">
    <w:name w:val="Heading 1 Char"/>
    <w:basedOn w:val="877"/>
    <w:link w:val="857"/>
    <w:uiPriority w:val="9"/>
    <w:qFormat/>
    <w:pPr>
      <w:pBdr/>
      <w:spacing/>
      <w:ind/>
    </w:pPr>
    <w:rPr>
      <w:rFonts w:ascii="Aptos Display" w:hAnsi="Aptos Display" w:asciiTheme="majorHAnsi" w:hAnsiTheme="majorHAnsi" w:eastAsiaTheme="majorEastAsia" w:cstheme="majorBidi"/>
      <w:color w:val="0f4761" w:themeColor="accent1" w:themeShade="BF"/>
      <w:sz w:val="40"/>
      <w:szCs w:val="40"/>
    </w:rPr>
  </w:style>
  <w:style w:type="character" w:styleId="869" w:customStyle="1">
    <w:name w:val="Heading 2 Char"/>
    <w:basedOn w:val="877"/>
    <w:link w:val="858"/>
    <w:uiPriority w:val="9"/>
    <w:semiHidden/>
    <w:qFormat/>
    <w:pPr>
      <w:pBdr/>
      <w:spacing/>
      <w:ind/>
    </w:pPr>
    <w:rPr>
      <w:rFonts w:ascii="Aptos Display" w:hAnsi="Aptos Display" w:asciiTheme="majorHAnsi" w:hAnsiTheme="majorHAnsi" w:eastAsiaTheme="majorEastAsia" w:cstheme="majorBidi"/>
      <w:color w:val="0f4761" w:themeColor="accent1" w:themeShade="BF"/>
      <w:sz w:val="32"/>
      <w:szCs w:val="32"/>
    </w:rPr>
  </w:style>
  <w:style w:type="character" w:styleId="870" w:customStyle="1">
    <w:name w:val="Heading 3 Char"/>
    <w:basedOn w:val="877"/>
    <w:link w:val="859"/>
    <w:uiPriority w:val="9"/>
    <w:semiHidden/>
    <w:qFormat/>
    <w:pPr>
      <w:pBdr/>
      <w:spacing/>
      <w:ind/>
    </w:pPr>
    <w:rPr>
      <w:rFonts w:eastAsiaTheme="majorEastAsia" w:cstheme="majorBidi"/>
      <w:color w:val="0f4761" w:themeColor="accent1" w:themeShade="BF"/>
      <w:sz w:val="28"/>
      <w:szCs w:val="28"/>
    </w:rPr>
  </w:style>
  <w:style w:type="character" w:styleId="871" w:customStyle="1">
    <w:name w:val="Heading 4 Char"/>
    <w:basedOn w:val="877"/>
    <w:link w:val="860"/>
    <w:uiPriority w:val="9"/>
    <w:semiHidden/>
    <w:qFormat/>
    <w:pPr>
      <w:pBdr/>
      <w:spacing/>
      <w:ind/>
    </w:pPr>
    <w:rPr>
      <w:rFonts w:eastAsiaTheme="majorEastAsia" w:cstheme="majorBidi"/>
      <w:i/>
      <w:iCs/>
      <w:color w:val="0f4761" w:themeColor="accent1" w:themeShade="BF"/>
    </w:rPr>
  </w:style>
  <w:style w:type="character" w:styleId="872" w:customStyle="1">
    <w:name w:val="Heading 5 Char"/>
    <w:basedOn w:val="877"/>
    <w:link w:val="861"/>
    <w:uiPriority w:val="9"/>
    <w:semiHidden/>
    <w:qFormat/>
    <w:pPr>
      <w:pBdr/>
      <w:spacing/>
      <w:ind/>
    </w:pPr>
    <w:rPr>
      <w:rFonts w:eastAsiaTheme="majorEastAsia" w:cstheme="majorBidi"/>
      <w:color w:val="0f4761" w:themeColor="accent1" w:themeShade="BF"/>
    </w:rPr>
  </w:style>
  <w:style w:type="character" w:styleId="873" w:customStyle="1">
    <w:name w:val="Heading 6 Char"/>
    <w:basedOn w:val="877"/>
    <w:link w:val="862"/>
    <w:uiPriority w:val="9"/>
    <w:semiHidden/>
    <w:qFormat/>
    <w:pPr>
      <w:pBdr/>
      <w:spacing/>
      <w:ind/>
    </w:pPr>
    <w:rPr>
      <w:rFonts w:eastAsiaTheme="majorEastAsia" w:cstheme="majorBidi"/>
      <w:i/>
      <w:iCs/>
      <w:color w:val="595959" w:themeColor="text1" w:themeTint="A6"/>
    </w:rPr>
  </w:style>
  <w:style w:type="character" w:styleId="874" w:customStyle="1">
    <w:name w:val="Heading 7 Char"/>
    <w:basedOn w:val="877"/>
    <w:link w:val="863"/>
    <w:uiPriority w:val="9"/>
    <w:semiHidden/>
    <w:qFormat/>
    <w:pPr>
      <w:pBdr/>
      <w:spacing/>
      <w:ind/>
    </w:pPr>
    <w:rPr>
      <w:rFonts w:eastAsiaTheme="majorEastAsia" w:cstheme="majorBidi"/>
      <w:color w:val="595959" w:themeColor="text1" w:themeTint="A6"/>
    </w:rPr>
  </w:style>
  <w:style w:type="character" w:styleId="875" w:customStyle="1">
    <w:name w:val="Heading 8 Char"/>
    <w:basedOn w:val="877"/>
    <w:link w:val="864"/>
    <w:uiPriority w:val="9"/>
    <w:semiHidden/>
    <w:qFormat/>
    <w:pPr>
      <w:pBdr/>
      <w:spacing/>
      <w:ind/>
    </w:pPr>
    <w:rPr>
      <w:rFonts w:eastAsiaTheme="majorEastAsia" w:cstheme="majorBidi"/>
      <w:i/>
      <w:iCs/>
      <w:color w:val="272727" w:themeColor="text1" w:themeTint="D8"/>
    </w:rPr>
  </w:style>
  <w:style w:type="character" w:styleId="876" w:customStyle="1">
    <w:name w:val="Heading 9 Char"/>
    <w:basedOn w:val="877"/>
    <w:link w:val="865"/>
    <w:uiPriority w:val="9"/>
    <w:semiHidden/>
    <w:qFormat/>
    <w:pPr>
      <w:pBdr/>
      <w:spacing/>
      <w:ind/>
    </w:pPr>
    <w:rPr>
      <w:rFonts w:eastAsiaTheme="majorEastAsia" w:cstheme="majorBidi"/>
      <w:color w:val="272727" w:themeColor="text1" w:themeTint="D8"/>
    </w:rPr>
  </w:style>
  <w:style w:type="character" w:styleId="877" w:default="1">
    <w:name w:val="Default Paragraph Font"/>
    <w:semiHidden/>
    <w:unhideWhenUsed/>
    <w:qFormat/>
    <w:pPr>
      <w:pBdr/>
      <w:spacing/>
      <w:ind/>
    </w:pPr>
  </w:style>
  <w:style w:type="character" w:styleId="878" w:customStyle="1">
    <w:name w:val="Body Text Char"/>
    <w:basedOn w:val="877"/>
    <w:qFormat/>
    <w:pPr>
      <w:pBdr/>
      <w:spacing/>
      <w:ind/>
    </w:pPr>
  </w:style>
  <w:style w:type="character" w:styleId="879" w:customStyle="1">
    <w:name w:val="Verbatim Char"/>
    <w:basedOn w:val="878"/>
    <w:qFormat/>
    <w:pPr>
      <w:pBdr/>
      <w:spacing/>
      <w:ind/>
    </w:pPr>
    <w:rPr>
      <w:rFonts w:ascii="Consolas" w:hAnsi="Consolas"/>
      <w:sz w:val="22"/>
    </w:rPr>
  </w:style>
  <w:style w:type="character" w:styleId="880" w:customStyle="1">
    <w:name w:val="Section Number"/>
    <w:basedOn w:val="878"/>
    <w:qFormat/>
    <w:pPr>
      <w:pBdr/>
      <w:spacing/>
      <w:ind/>
    </w:pPr>
  </w:style>
  <w:style w:type="character" w:styleId="881">
    <w:name w:val="Footnote Characters"/>
    <w:basedOn w:val="878"/>
    <w:qFormat/>
    <w:pPr>
      <w:pBdr/>
      <w:spacing/>
      <w:ind/>
    </w:pPr>
    <w:rPr>
      <w:vertAlign w:val="superscript"/>
    </w:rPr>
  </w:style>
  <w:style w:type="character" w:styleId="882">
    <w:name w:val="footnote reference"/>
    <w:pPr>
      <w:pBdr/>
      <w:spacing/>
      <w:ind/>
    </w:pPr>
    <w:rPr>
      <w:vertAlign w:val="superscript"/>
    </w:rPr>
  </w:style>
  <w:style w:type="character" w:styleId="883">
    <w:name w:val="Hyperlink"/>
    <w:basedOn w:val="878"/>
    <w:pPr>
      <w:pBdr/>
      <w:spacing/>
      <w:ind/>
    </w:pPr>
    <w:rPr>
      <w:color w:val="4f81bd" w:themeColor="accent1"/>
    </w:rPr>
  </w:style>
  <w:style w:type="character" w:styleId="884" w:customStyle="1">
    <w:name w:val="KeywordTok"/>
    <w:basedOn w:val="879"/>
    <w:qFormat/>
    <w:pPr>
      <w:pBdr/>
      <w:spacing/>
      <w:ind/>
    </w:pPr>
    <w:rPr>
      <w:b/>
      <w:color w:val="007020"/>
    </w:rPr>
  </w:style>
  <w:style w:type="character" w:styleId="885" w:customStyle="1">
    <w:name w:val="DataTypeTok"/>
    <w:basedOn w:val="879"/>
    <w:qFormat/>
    <w:pPr>
      <w:pBdr/>
      <w:spacing/>
      <w:ind/>
    </w:pPr>
    <w:rPr>
      <w:color w:val="902000"/>
    </w:rPr>
  </w:style>
  <w:style w:type="character" w:styleId="886" w:customStyle="1">
    <w:name w:val="DecValTok"/>
    <w:basedOn w:val="879"/>
    <w:qFormat/>
    <w:pPr>
      <w:pBdr/>
      <w:spacing/>
      <w:ind/>
    </w:pPr>
    <w:rPr>
      <w:color w:val="40a070"/>
    </w:rPr>
  </w:style>
  <w:style w:type="character" w:styleId="887" w:customStyle="1">
    <w:name w:val="BaseNTok"/>
    <w:basedOn w:val="879"/>
    <w:qFormat/>
    <w:pPr>
      <w:pBdr/>
      <w:spacing/>
      <w:ind/>
    </w:pPr>
    <w:rPr>
      <w:color w:val="40a070"/>
    </w:rPr>
  </w:style>
  <w:style w:type="character" w:styleId="888" w:customStyle="1">
    <w:name w:val="FloatTok"/>
    <w:basedOn w:val="879"/>
    <w:qFormat/>
    <w:pPr>
      <w:pBdr/>
      <w:spacing/>
      <w:ind/>
    </w:pPr>
    <w:rPr>
      <w:color w:val="40a070"/>
    </w:rPr>
  </w:style>
  <w:style w:type="character" w:styleId="889" w:customStyle="1">
    <w:name w:val="ConstantTok"/>
    <w:basedOn w:val="879"/>
    <w:qFormat/>
    <w:pPr>
      <w:pBdr/>
      <w:spacing/>
      <w:ind/>
    </w:pPr>
    <w:rPr>
      <w:color w:val="880000"/>
    </w:rPr>
  </w:style>
  <w:style w:type="character" w:styleId="890" w:customStyle="1">
    <w:name w:val="CharTok"/>
    <w:basedOn w:val="879"/>
    <w:qFormat/>
    <w:pPr>
      <w:pBdr/>
      <w:spacing/>
      <w:ind/>
    </w:pPr>
    <w:rPr>
      <w:color w:val="4070a0"/>
    </w:rPr>
  </w:style>
  <w:style w:type="character" w:styleId="891" w:customStyle="1">
    <w:name w:val="SpecialCharTok"/>
    <w:basedOn w:val="879"/>
    <w:qFormat/>
    <w:pPr>
      <w:pBdr/>
      <w:spacing/>
      <w:ind/>
    </w:pPr>
    <w:rPr>
      <w:color w:val="4070a0"/>
    </w:rPr>
  </w:style>
  <w:style w:type="character" w:styleId="892" w:customStyle="1">
    <w:name w:val="StringTok"/>
    <w:basedOn w:val="879"/>
    <w:qFormat/>
    <w:pPr>
      <w:pBdr/>
      <w:spacing/>
      <w:ind/>
    </w:pPr>
    <w:rPr>
      <w:color w:val="4070a0"/>
    </w:rPr>
  </w:style>
  <w:style w:type="character" w:styleId="893" w:customStyle="1">
    <w:name w:val="VerbatimStringTok"/>
    <w:basedOn w:val="879"/>
    <w:qFormat/>
    <w:pPr>
      <w:pBdr/>
      <w:spacing/>
      <w:ind/>
    </w:pPr>
    <w:rPr>
      <w:color w:val="4070a0"/>
    </w:rPr>
  </w:style>
  <w:style w:type="character" w:styleId="894" w:customStyle="1">
    <w:name w:val="SpecialStringTok"/>
    <w:basedOn w:val="879"/>
    <w:qFormat/>
    <w:pPr>
      <w:pBdr/>
      <w:spacing/>
      <w:ind/>
    </w:pPr>
    <w:rPr>
      <w:color w:val="bb6688"/>
    </w:rPr>
  </w:style>
  <w:style w:type="character" w:styleId="895" w:customStyle="1">
    <w:name w:val="ImportTok"/>
    <w:basedOn w:val="879"/>
    <w:qFormat/>
    <w:pPr>
      <w:pBdr/>
      <w:spacing/>
      <w:ind/>
    </w:pPr>
    <w:rPr>
      <w:b/>
      <w:color w:val="008000"/>
    </w:rPr>
  </w:style>
  <w:style w:type="character" w:styleId="896" w:customStyle="1">
    <w:name w:val="CommentTok"/>
    <w:basedOn w:val="879"/>
    <w:qFormat/>
    <w:pPr>
      <w:pBdr/>
      <w:spacing/>
      <w:ind/>
    </w:pPr>
    <w:rPr>
      <w:i/>
      <w:color w:val="60a0b0"/>
    </w:rPr>
  </w:style>
  <w:style w:type="character" w:styleId="897" w:customStyle="1">
    <w:name w:val="DocumentationTok"/>
    <w:basedOn w:val="879"/>
    <w:qFormat/>
    <w:pPr>
      <w:pBdr/>
      <w:spacing/>
      <w:ind/>
    </w:pPr>
    <w:rPr>
      <w:i/>
      <w:color w:val="ba2121"/>
    </w:rPr>
  </w:style>
  <w:style w:type="character" w:styleId="898" w:customStyle="1">
    <w:name w:val="AnnotationTok"/>
    <w:basedOn w:val="879"/>
    <w:qFormat/>
    <w:pPr>
      <w:pBdr/>
      <w:spacing/>
      <w:ind/>
    </w:pPr>
    <w:rPr>
      <w:b/>
      <w:i/>
      <w:color w:val="60a0b0"/>
    </w:rPr>
  </w:style>
  <w:style w:type="character" w:styleId="899" w:customStyle="1">
    <w:name w:val="CommentVarTok"/>
    <w:basedOn w:val="879"/>
    <w:qFormat/>
    <w:pPr>
      <w:pBdr/>
      <w:spacing/>
      <w:ind/>
    </w:pPr>
    <w:rPr>
      <w:b/>
      <w:i/>
      <w:color w:val="60a0b0"/>
    </w:rPr>
  </w:style>
  <w:style w:type="character" w:styleId="900" w:customStyle="1">
    <w:name w:val="OtherTok"/>
    <w:basedOn w:val="879"/>
    <w:qFormat/>
    <w:pPr>
      <w:pBdr/>
      <w:spacing/>
      <w:ind/>
    </w:pPr>
    <w:rPr>
      <w:color w:val="007020"/>
    </w:rPr>
  </w:style>
  <w:style w:type="character" w:styleId="901" w:customStyle="1">
    <w:name w:val="FunctionTok"/>
    <w:basedOn w:val="879"/>
    <w:qFormat/>
    <w:pPr>
      <w:pBdr/>
      <w:spacing/>
      <w:ind/>
    </w:pPr>
    <w:rPr>
      <w:color w:val="06287e"/>
    </w:rPr>
  </w:style>
  <w:style w:type="character" w:styleId="902" w:customStyle="1">
    <w:name w:val="VariableTok"/>
    <w:basedOn w:val="879"/>
    <w:qFormat/>
    <w:pPr>
      <w:pBdr/>
      <w:spacing/>
      <w:ind/>
    </w:pPr>
    <w:rPr>
      <w:color w:val="19177c"/>
    </w:rPr>
  </w:style>
  <w:style w:type="character" w:styleId="903" w:customStyle="1">
    <w:name w:val="ControlFlowTok"/>
    <w:basedOn w:val="879"/>
    <w:qFormat/>
    <w:pPr>
      <w:pBdr/>
      <w:spacing/>
      <w:ind/>
    </w:pPr>
    <w:rPr>
      <w:b/>
      <w:color w:val="007020"/>
    </w:rPr>
  </w:style>
  <w:style w:type="character" w:styleId="904" w:customStyle="1">
    <w:name w:val="OperatorTok"/>
    <w:basedOn w:val="879"/>
    <w:qFormat/>
    <w:pPr>
      <w:pBdr/>
      <w:spacing/>
      <w:ind/>
    </w:pPr>
    <w:rPr>
      <w:color w:val="666666"/>
    </w:rPr>
  </w:style>
  <w:style w:type="character" w:styleId="905" w:customStyle="1">
    <w:name w:val="BuiltInTok"/>
    <w:basedOn w:val="879"/>
    <w:qFormat/>
    <w:pPr>
      <w:pBdr/>
      <w:spacing/>
      <w:ind/>
    </w:pPr>
    <w:rPr>
      <w:color w:val="008000"/>
    </w:rPr>
  </w:style>
  <w:style w:type="character" w:styleId="906" w:customStyle="1">
    <w:name w:val="ExtensionTok"/>
    <w:basedOn w:val="879"/>
    <w:qFormat/>
    <w:pPr>
      <w:pBdr/>
      <w:spacing/>
      <w:ind/>
    </w:pPr>
  </w:style>
  <w:style w:type="character" w:styleId="907" w:customStyle="1">
    <w:name w:val="PreprocessorTok"/>
    <w:basedOn w:val="879"/>
    <w:qFormat/>
    <w:pPr>
      <w:pBdr/>
      <w:spacing/>
      <w:ind/>
    </w:pPr>
    <w:rPr>
      <w:color w:val="bc7a00"/>
    </w:rPr>
  </w:style>
  <w:style w:type="character" w:styleId="908" w:customStyle="1">
    <w:name w:val="AttributeTok"/>
    <w:basedOn w:val="879"/>
    <w:qFormat/>
    <w:pPr>
      <w:pBdr/>
      <w:spacing/>
      <w:ind/>
    </w:pPr>
    <w:rPr>
      <w:color w:val="7d9029"/>
    </w:rPr>
  </w:style>
  <w:style w:type="character" w:styleId="909" w:customStyle="1">
    <w:name w:val="RegionMarkerTok"/>
    <w:basedOn w:val="879"/>
    <w:qFormat/>
    <w:pPr>
      <w:pBdr/>
      <w:spacing/>
      <w:ind/>
    </w:pPr>
  </w:style>
  <w:style w:type="character" w:styleId="910" w:customStyle="1">
    <w:name w:val="InformationTok"/>
    <w:basedOn w:val="879"/>
    <w:qFormat/>
    <w:pPr>
      <w:pBdr/>
      <w:spacing/>
      <w:ind/>
    </w:pPr>
    <w:rPr>
      <w:b/>
      <w:i/>
      <w:color w:val="60a0b0"/>
    </w:rPr>
  </w:style>
  <w:style w:type="character" w:styleId="911" w:customStyle="1">
    <w:name w:val="WarningTok"/>
    <w:basedOn w:val="879"/>
    <w:qFormat/>
    <w:pPr>
      <w:pBdr/>
      <w:spacing/>
      <w:ind/>
    </w:pPr>
    <w:rPr>
      <w:b/>
      <w:i/>
      <w:color w:val="60a0b0"/>
    </w:rPr>
  </w:style>
  <w:style w:type="character" w:styleId="912" w:customStyle="1">
    <w:name w:val="AlertTok"/>
    <w:basedOn w:val="879"/>
    <w:qFormat/>
    <w:pPr>
      <w:pBdr/>
      <w:spacing/>
      <w:ind/>
    </w:pPr>
    <w:rPr>
      <w:b/>
      <w:color w:val="ff0000"/>
    </w:rPr>
  </w:style>
  <w:style w:type="character" w:styleId="913" w:customStyle="1">
    <w:name w:val="ErrorTok"/>
    <w:basedOn w:val="879"/>
    <w:qFormat/>
    <w:pPr>
      <w:pBdr/>
      <w:spacing/>
      <w:ind/>
    </w:pPr>
    <w:rPr>
      <w:b/>
      <w:color w:val="ff0000"/>
    </w:rPr>
  </w:style>
  <w:style w:type="character" w:styleId="914" w:customStyle="1">
    <w:name w:val="NormalTok"/>
    <w:basedOn w:val="879"/>
    <w:qFormat/>
    <w:pPr>
      <w:pBdr/>
      <w:spacing/>
      <w:ind/>
    </w:pPr>
  </w:style>
  <w:style w:type="character" w:styleId="915">
    <w:name w:val="Index Link"/>
    <w:qFormat/>
    <w:pPr>
      <w:pBdr/>
      <w:spacing/>
      <w:ind/>
    </w:pPr>
  </w:style>
  <w:style w:type="paragraph" w:styleId="916">
    <w:name w:val="Heading"/>
    <w:basedOn w:val="856"/>
    <w:next w:val="917"/>
    <w:qFormat/>
    <w:pPr>
      <w:keepNext w:val="true"/>
      <w:pBdr/>
      <w:spacing w:after="120" w:before="240"/>
      <w:ind/>
    </w:pPr>
    <w:rPr>
      <w:rFonts w:ascii="Liberation Sans" w:hAnsi="Liberation Sans" w:eastAsia="Noto Sans CJK SC" w:cs="Noto Sans"/>
      <w:sz w:val="28"/>
      <w:szCs w:val="28"/>
    </w:rPr>
  </w:style>
  <w:style w:type="paragraph" w:styleId="917">
    <w:name w:val="Body Text"/>
    <w:basedOn w:val="856"/>
    <w:link w:val="878"/>
    <w:qFormat/>
    <w:pPr>
      <w:pBdr/>
      <w:spacing w:after="180" w:before="180"/>
      <w:ind/>
    </w:pPr>
  </w:style>
  <w:style w:type="paragraph" w:styleId="918">
    <w:name w:val="List"/>
    <w:basedOn w:val="917"/>
    <w:pPr>
      <w:pBdr/>
      <w:spacing/>
      <w:ind/>
    </w:pPr>
    <w:rPr>
      <w:rFonts w:cs="Noto Sans"/>
    </w:rPr>
  </w:style>
  <w:style w:type="paragraph" w:styleId="919">
    <w:name w:val="Caption"/>
    <w:basedOn w:val="856"/>
    <w:link w:val="878"/>
    <w:qFormat/>
    <w:pPr>
      <w:pBdr/>
      <w:spacing w:after="120" w:before="0"/>
      <w:ind/>
    </w:pPr>
    <w:rPr>
      <w:i/>
    </w:rPr>
  </w:style>
  <w:style w:type="paragraph" w:styleId="920">
    <w:name w:val="Index"/>
    <w:basedOn w:val="856"/>
    <w:qFormat/>
    <w:pPr>
      <w:suppressLineNumbers w:val="true"/>
      <w:pBdr/>
      <w:spacing/>
      <w:ind/>
    </w:pPr>
    <w:rPr>
      <w:rFonts w:cs="Noto Sans"/>
    </w:rPr>
  </w:style>
  <w:style w:type="paragraph" w:styleId="921" w:customStyle="1">
    <w:name w:val="First Paragraph"/>
    <w:basedOn w:val="917"/>
    <w:next w:val="917"/>
    <w:qFormat/>
    <w:pPr>
      <w:pBdr/>
      <w:spacing/>
      <w:ind/>
    </w:pPr>
  </w:style>
  <w:style w:type="paragraph" w:styleId="922" w:customStyle="1">
    <w:name w:val="Compact"/>
    <w:basedOn w:val="917"/>
    <w:qFormat/>
    <w:pPr>
      <w:pBdr/>
      <w:spacing w:after="36" w:before="36"/>
      <w:ind/>
    </w:pPr>
  </w:style>
  <w:style w:type="paragraph" w:styleId="923">
    <w:name w:val="Title"/>
    <w:basedOn w:val="856"/>
    <w:next w:val="917"/>
    <w:link w:val="866"/>
    <w:uiPriority w:val="10"/>
    <w:qFormat/>
    <w:pPr>
      <w:pBdr/>
      <w:spacing w:after="80" w:before="0" w:line="240" w:lineRule="auto"/>
      <w:ind/>
      <w:contextualSpacing w:val="true"/>
      <w:jc w:val="center"/>
    </w:pPr>
    <w:rPr>
      <w:rFonts w:ascii="Aptos Display" w:hAnsi="Aptos Display" w:asciiTheme="majorHAnsi" w:hAnsiTheme="majorHAnsi" w:eastAsiaTheme="majorEastAsia" w:cstheme="majorBidi"/>
      <w:sz w:val="56"/>
      <w:szCs w:val="56"/>
    </w:rPr>
  </w:style>
  <w:style w:type="paragraph" w:styleId="924">
    <w:name w:val="Subtitle"/>
    <w:basedOn w:val="923"/>
    <w:next w:val="917"/>
    <w:link w:val="867"/>
    <w:uiPriority w:val="11"/>
    <w:qFormat/>
    <w:pPr>
      <w:pBdr/>
      <w:spacing/>
      <w:ind/>
    </w:pPr>
    <w:rPr>
      <w:rFonts w:eastAsiaTheme="majorEastAsia" w:cstheme="majorBidi"/>
      <w:spacing w:val="15"/>
      <w:sz w:val="28"/>
      <w:szCs w:val="28"/>
    </w:rPr>
  </w:style>
  <w:style w:type="paragraph" w:styleId="925" w:customStyle="1">
    <w:name w:val="Author"/>
    <w:basedOn w:val="923"/>
    <w:next w:val="917"/>
    <w:qFormat/>
    <w:pPr>
      <w:keepNext w:val="true"/>
      <w:keepLines w:val="true"/>
      <w:pBdr/>
      <w:spacing/>
      <w:ind/>
    </w:pPr>
    <w:rPr>
      <w:sz w:val="24"/>
      <w:szCs w:val="24"/>
    </w:rPr>
  </w:style>
  <w:style w:type="paragraph" w:styleId="926">
    <w:name w:val="Date"/>
    <w:basedOn w:val="923"/>
    <w:next w:val="917"/>
    <w:qFormat/>
    <w:pPr>
      <w:keepNext w:val="true"/>
      <w:keepLines w:val="true"/>
      <w:pBdr/>
      <w:spacing/>
      <w:ind/>
    </w:pPr>
    <w:rPr>
      <w:sz w:val="24"/>
      <w:szCs w:val="24"/>
    </w:rPr>
  </w:style>
  <w:style w:type="paragraph" w:styleId="927" w:customStyle="1">
    <w:name w:val="Abstract Title"/>
    <w:basedOn w:val="856"/>
    <w:next w:val="928"/>
    <w:qFormat/>
    <w:pPr>
      <w:keepNext w:val="true"/>
      <w:keepLines w:val="true"/>
      <w:pBdr/>
      <w:spacing w:after="0" w:before="300"/>
      <w:ind/>
      <w:jc w:val="center"/>
    </w:pPr>
    <w:rPr>
      <w:b/>
      <w:sz w:val="20"/>
      <w:szCs w:val="20"/>
    </w:rPr>
  </w:style>
  <w:style w:type="paragraph" w:styleId="928" w:customStyle="1">
    <w:name w:val="Abstract"/>
    <w:basedOn w:val="856"/>
    <w:next w:val="917"/>
    <w:qFormat/>
    <w:pPr>
      <w:keepNext w:val="true"/>
      <w:keepLines w:val="true"/>
      <w:pBdr/>
      <w:spacing w:after="300" w:before="100"/>
      <w:ind/>
    </w:pPr>
    <w:rPr>
      <w:sz w:val="20"/>
      <w:szCs w:val="20"/>
    </w:rPr>
  </w:style>
  <w:style w:type="paragraph" w:styleId="929">
    <w:name w:val="Bibliography"/>
    <w:basedOn w:val="856"/>
    <w:qFormat/>
    <w:pPr>
      <w:pBdr/>
      <w:spacing/>
      <w:ind/>
    </w:pPr>
  </w:style>
  <w:style w:type="paragraph" w:styleId="930">
    <w:name w:val="Block Text"/>
    <w:basedOn w:val="917"/>
    <w:next w:val="917"/>
    <w:uiPriority w:val="9"/>
    <w:unhideWhenUsed/>
    <w:qFormat/>
    <w:pPr>
      <w:pBdr/>
      <w:spacing w:after="100" w:before="100"/>
      <w:ind w:right="480" w:firstLine="0" w:left="480"/>
    </w:pPr>
  </w:style>
  <w:style w:type="paragraph" w:styleId="931">
    <w:name w:val="footnote text"/>
    <w:basedOn w:val="856"/>
    <w:uiPriority w:val="9"/>
    <w:unhideWhenUsed/>
    <w:qFormat/>
    <w:pPr>
      <w:pBdr/>
      <w:spacing/>
      <w:ind/>
    </w:pPr>
  </w:style>
  <w:style w:type="paragraph" w:styleId="932">
    <w:name w:val="Footnote Block Text"/>
    <w:basedOn w:val="931"/>
    <w:next w:val="931"/>
    <w:uiPriority w:val="9"/>
    <w:unhideWhenUsed/>
    <w:qFormat/>
    <w:pPr>
      <w:pBdr/>
      <w:spacing w:after="100" w:before="100"/>
      <w:ind w:right="480" w:firstLine="0" w:left="480"/>
    </w:pPr>
  </w:style>
  <w:style w:type="paragraph" w:styleId="933" w:customStyle="1">
    <w:name w:val="Definition Term"/>
    <w:basedOn w:val="856"/>
    <w:next w:val="934"/>
    <w:qFormat/>
    <w:pPr>
      <w:keepNext w:val="true"/>
      <w:keepLines w:val="true"/>
      <w:pBdr/>
      <w:spacing w:after="0" w:before="0"/>
      <w:ind/>
    </w:pPr>
    <w:rPr>
      <w:b/>
    </w:rPr>
  </w:style>
  <w:style w:type="paragraph" w:styleId="934" w:customStyle="1">
    <w:name w:val="Definition"/>
    <w:basedOn w:val="856"/>
    <w:qFormat/>
    <w:pPr>
      <w:pBdr/>
      <w:spacing/>
      <w:ind/>
    </w:pPr>
  </w:style>
  <w:style w:type="paragraph" w:styleId="935" w:customStyle="1">
    <w:name w:val="Table Caption"/>
    <w:basedOn w:val="919"/>
    <w:qFormat/>
    <w:pPr>
      <w:keepNext w:val="true"/>
      <w:pBdr/>
      <w:spacing/>
      <w:ind/>
    </w:pPr>
  </w:style>
  <w:style w:type="paragraph" w:styleId="936" w:customStyle="1">
    <w:name w:val="Image Caption"/>
    <w:basedOn w:val="919"/>
    <w:qFormat/>
    <w:pPr>
      <w:pBdr/>
      <w:spacing/>
      <w:ind/>
    </w:pPr>
  </w:style>
  <w:style w:type="paragraph" w:styleId="937" w:customStyle="1">
    <w:name w:val="Figure"/>
    <w:basedOn w:val="856"/>
    <w:qFormat/>
    <w:pPr>
      <w:pBdr/>
      <w:spacing/>
      <w:ind/>
    </w:pPr>
  </w:style>
  <w:style w:type="paragraph" w:styleId="938" w:customStyle="1">
    <w:name w:val="Captioned Figure"/>
    <w:basedOn w:val="937"/>
    <w:qFormat/>
    <w:pPr>
      <w:keepNext w:val="true"/>
      <w:pBdr/>
      <w:spacing/>
      <w:ind/>
    </w:pPr>
  </w:style>
  <w:style w:type="paragraph" w:styleId="939">
    <w:name w:val="index heading"/>
    <w:basedOn w:val="916"/>
    <w:pPr>
      <w:pBdr/>
      <w:spacing/>
      <w:ind/>
    </w:pPr>
  </w:style>
  <w:style w:type="paragraph" w:styleId="940">
    <w:name w:val="TOC Heading"/>
    <w:basedOn w:val="857"/>
    <w:next w:val="917"/>
    <w:uiPriority w:val="39"/>
    <w:unhideWhenUsed/>
    <w:qFormat/>
    <w:pPr>
      <w:pBdr/>
      <w:spacing w:after="80" w:before="240" w:line="259" w:lineRule="auto"/>
      <w:ind/>
      <w:outlineLvl w:val="9"/>
    </w:pPr>
    <w:rPr>
      <w:rFonts w:ascii="Aptos Display" w:hAnsi="Aptos Display" w:asciiTheme="majorHAnsi" w:hAnsiTheme="majorHAnsi" w:eastAsiaTheme="majorEastAsia" w:cstheme="majorBidi"/>
      <w:b w:val="0"/>
      <w:bCs w:val="0"/>
      <w:color w:val="365f91" w:themeColor="accent1" w:themeShade="BF"/>
    </w:rPr>
  </w:style>
  <w:style w:type="paragraph" w:styleId="941" w:customStyle="1">
    <w:name w:val="Source Code"/>
    <w:basedOn w:val="856"/>
    <w:link w:val="879"/>
    <w:qFormat/>
    <w:pPr>
      <w:pBdr/>
      <w:spacing/>
      <w:ind/>
    </w:pPr>
  </w:style>
  <w:style w:type="paragraph" w:styleId="942">
    <w:name w:val="Table Contents"/>
    <w:basedOn w:val="856"/>
    <w:qFormat/>
    <w:pPr>
      <w:widowControl w:val="false"/>
      <w:suppressLineNumbers w:val="true"/>
      <w:pBdr/>
      <w:spacing/>
      <w:ind/>
    </w:pPr>
  </w:style>
  <w:style w:type="paragraph" w:styleId="943">
    <w:name w:val="toc 1"/>
    <w:basedOn w:val="920"/>
    <w:pPr>
      <w:pBdr/>
      <w:tabs>
        <w:tab w:val="clear" w:leader="none" w:pos="720"/>
        <w:tab w:val="right" w:leader="dot" w:pos="9360"/>
      </w:tabs>
      <w:spacing/>
      <w:ind w:firstLine="0" w:left="0"/>
    </w:pPr>
  </w:style>
  <w:style w:type="paragraph" w:styleId="944">
    <w:name w:val="toc 2"/>
    <w:basedOn w:val="920"/>
    <w:pPr>
      <w:pBdr/>
      <w:tabs>
        <w:tab w:val="clear" w:leader="none" w:pos="720"/>
        <w:tab w:val="right" w:leader="dot" w:pos="9077"/>
      </w:tabs>
      <w:spacing/>
      <w:ind w:firstLine="0" w:left="283"/>
    </w:pPr>
  </w:style>
  <w:style w:type="paragraph" w:styleId="945">
    <w:name w:val="toc 3"/>
    <w:basedOn w:val="920"/>
    <w:pPr>
      <w:pBdr/>
      <w:tabs>
        <w:tab w:val="clear" w:leader="none" w:pos="720"/>
        <w:tab w:val="right" w:leader="dot" w:pos="8793"/>
      </w:tabs>
      <w:spacing/>
      <w:ind w:firstLine="0" w:left="567"/>
    </w:pPr>
  </w:style>
  <w:style w:type="paragraph" w:styleId="946">
    <w:name w:val="toc 4"/>
    <w:basedOn w:val="920"/>
    <w:pPr>
      <w:pBdr/>
      <w:tabs>
        <w:tab w:val="clear" w:leader="none" w:pos="720"/>
        <w:tab w:val="right" w:leader="dot" w:pos="8510"/>
      </w:tabs>
      <w:spacing/>
      <w:ind w:firstLine="0" w:left="850"/>
    </w:pPr>
  </w:style>
  <w:style w:type="table" w:styleId="947">
    <w:name w:val="Table"/>
    <w:semiHidden/>
    <w:unhideWhenUsed/>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en-IN</dc:language>
  <cp:revision>3</cp:revision>
  <dcterms:created xsi:type="dcterms:W3CDTF">2026-07-03T06:30:29Z</dcterms:created>
  <dcterms:modified xsi:type="dcterms:W3CDTF">2026-07-03T07:01:20Z</dcterms:modified>
</cp:coreProperties>
</file>