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A2540"/>
          <w:sz w:val="44"/>
        </w:rPr>
        <w:t>TECHNICAL OVERVIEW &amp; SYSTEM SPECIFICATION</w:t>
      </w:r>
    </w:p>
    <w:p>
      <w:pPr>
        <w:jc w:val="center"/>
      </w:pPr>
      <w:r>
        <w:rPr>
          <w:rFonts w:ascii="Segoe UI" w:hAnsi="Segoe UI"/>
          <w:i/>
          <w:color w:val="4A5568"/>
          <w:sz w:val="23"/>
        </w:rPr>
        <w:t>Self-Organizing Multi-Agent Systems for Decentralized Environmental Monitoring</w:t>
        <w:br/>
        <w:t>Comprehensive Engineering Specification, Algorithmic Analysis &amp; Architectural Reference</w:t>
      </w:r>
    </w:p>
    <w:p>
      <w:pPr>
        <w:spacing w:after="280"/>
      </w:pPr>
    </w:p>
    <w:tbl>
      <w:tblPr>
        <w:tblW w:type="auto" w:w="0"/>
        <w:jc w:val="center"/>
        <w:tblLook w:firstColumn="1" w:firstRow="1" w:lastColumn="0" w:lastRow="0" w:noHBand="0" w:noVBand="1" w:val="04A0"/>
      </w:tblPr>
      <w:tblGrid>
        <w:gridCol w:w="3120"/>
        <w:gridCol w:w="3120"/>
        <w:gridCol w:w="3120"/>
      </w:tblGrid>
      <w:tr>
        <w:tc>
          <w:tcPr>
            <w:tcW w:type="dxa" w:w="3120"/>
            <w:shd w:fill="EDF2F7"/>
            <w:tcMar>
              <w:top w:w="80" w:type="dxa"/>
              <w:bottom w:w="80" w:type="dxa"/>
              <w:left w:w="120" w:type="dxa"/>
              <w:right w:w="120" w:type="dxa"/>
            </w:tcMar>
          </w:tcPr>
          <w:p>
            <w:r>
              <w:rPr>
                <w:rFonts w:ascii="Segoe UI" w:hAnsi="Segoe UI"/>
                <w:b/>
                <w:color w:val="2B6CB0"/>
                <w:sz w:val="17"/>
              </w:rPr>
              <w:t>PROJECT VERSION</w:t>
              <w:br/>
            </w:r>
            <w:r>
              <w:rPr>
                <w:rFonts w:ascii="Segoe UI" w:hAnsi="Segoe UI"/>
                <w:color w:val="1A202C"/>
                <w:sz w:val="18"/>
              </w:rPr>
              <w:t>Version 2.0.0 (Production-Ready)</w:t>
            </w:r>
          </w:p>
        </w:tc>
        <w:tc>
          <w:tcPr>
            <w:tcW w:type="dxa" w:w="3120"/>
            <w:shd w:fill="EDF2F7"/>
            <w:tcMar>
              <w:top w:w="80" w:type="dxa"/>
              <w:bottom w:w="80" w:type="dxa"/>
              <w:left w:w="120" w:type="dxa"/>
              <w:right w:w="120" w:type="dxa"/>
            </w:tcMar>
          </w:tcPr>
          <w:p>
            <w:r>
              <w:rPr>
                <w:rFonts w:ascii="Segoe UI" w:hAnsi="Segoe UI"/>
                <w:b/>
                <w:color w:val="2B6CB0"/>
                <w:sz w:val="17"/>
              </w:rPr>
              <w:t>TECH STACK</w:t>
              <w:br/>
            </w:r>
            <w:r>
              <w:rPr>
                <w:rFonts w:ascii="Segoe UI" w:hAnsi="Segoe UI"/>
                <w:color w:val="1A202C"/>
                <w:sz w:val="18"/>
              </w:rPr>
              <w:t>Next.js 14, FastAPI, Scikit-Learn, NetworkX</w:t>
            </w:r>
          </w:p>
        </w:tc>
        <w:tc>
          <w:tcPr>
            <w:tcW w:type="dxa" w:w="3120"/>
            <w:shd w:fill="EDF2F7"/>
            <w:tcMar>
              <w:top w:w="80" w:type="dxa"/>
              <w:bottom w:w="80" w:type="dxa"/>
              <w:left w:w="120" w:type="dxa"/>
              <w:right w:w="120" w:type="dxa"/>
            </w:tcMar>
          </w:tcPr>
          <w:p>
            <w:r>
              <w:rPr>
                <w:rFonts w:ascii="Segoe UI" w:hAnsi="Segoe UI"/>
                <w:b/>
                <w:color w:val="2B6CB0"/>
                <w:sz w:val="17"/>
              </w:rPr>
              <w:t>VERIFICATION STATUS</w:t>
              <w:br/>
            </w:r>
            <w:r>
              <w:rPr>
                <w:rFonts w:ascii="Segoe UI" w:hAnsi="Segoe UI"/>
                <w:color w:val="1A202C"/>
                <w:sz w:val="18"/>
              </w:rPr>
              <w:t>11/11 Test Suites Passing (100% Pass)</w:t>
            </w:r>
          </w:p>
        </w:tc>
      </w:tr>
      <w:tr>
        <w:tc>
          <w:tcPr>
            <w:tcW w:type="dxa" w:w="3120"/>
            <w:shd w:fill="EDF2F7"/>
            <w:tcMar>
              <w:top w:w="80" w:type="dxa"/>
              <w:bottom w:w="80" w:type="dxa"/>
              <w:left w:w="120" w:type="dxa"/>
              <w:right w:w="120" w:type="dxa"/>
            </w:tcMar>
          </w:tcPr>
          <w:p>
            <w:r>
              <w:rPr>
                <w:rFonts w:ascii="Segoe UI" w:hAnsi="Segoe UI"/>
                <w:b/>
                <w:color w:val="2B6CB0"/>
                <w:sz w:val="17"/>
              </w:rPr>
              <w:t>AI MODEL</w:t>
              <w:br/>
            </w:r>
            <w:r>
              <w:rPr>
                <w:rFonts w:ascii="Segoe UI" w:hAnsi="Segoe UI"/>
                <w:color w:val="1A202C"/>
                <w:sz w:val="18"/>
              </w:rPr>
              <w:t>Isolation Forest (200 Trees, 6 Features)</w:t>
            </w:r>
          </w:p>
        </w:tc>
        <w:tc>
          <w:tcPr>
            <w:tcW w:type="dxa" w:w="3120"/>
            <w:shd w:fill="EDF2F7"/>
            <w:tcMar>
              <w:top w:w="80" w:type="dxa"/>
              <w:bottom w:w="80" w:type="dxa"/>
              <w:left w:w="120" w:type="dxa"/>
              <w:right w:w="120" w:type="dxa"/>
            </w:tcMar>
          </w:tcPr>
          <w:p>
            <w:r>
              <w:rPr>
                <w:rFonts w:ascii="Segoe UI" w:hAnsi="Segoe UI"/>
                <w:b/>
                <w:color w:val="2B6CB0"/>
                <w:sz w:val="17"/>
              </w:rPr>
              <w:t>TOPOLOGY HEALING</w:t>
              <w:br/>
            </w:r>
            <w:r>
              <w:rPr>
                <w:rFonts w:ascii="Segoe UI" w:hAnsi="Segoe UI"/>
                <w:color w:val="1A202C"/>
                <w:sz w:val="18"/>
              </w:rPr>
              <w:t>Manhattan Proximity (Recovery &lt;20ms)</w:t>
            </w:r>
          </w:p>
        </w:tc>
        <w:tc>
          <w:tcPr>
            <w:tcW w:type="dxa" w:w="3120"/>
            <w:shd w:fill="EDF2F7"/>
            <w:tcMar>
              <w:top w:w="80" w:type="dxa"/>
              <w:bottom w:w="80" w:type="dxa"/>
              <w:left w:w="120" w:type="dxa"/>
              <w:right w:w="120" w:type="dxa"/>
            </w:tcMar>
          </w:tcPr>
          <w:p>
            <w:r>
              <w:rPr>
                <w:rFonts w:ascii="Segoe UI" w:hAnsi="Segoe UI"/>
                <w:b/>
                <w:color w:val="2B6CB0"/>
                <w:sz w:val="17"/>
              </w:rPr>
              <w:t>CONSENSUS QUORUM</w:t>
              <w:br/>
            </w:r>
            <w:r>
              <w:rPr>
                <w:rFonts w:ascii="Segoe UI" w:hAnsi="Segoe UI"/>
                <w:color w:val="1A202C"/>
                <w:sz w:val="18"/>
              </w:rPr>
              <w:t>Localized Majority Gate (θ ≥ 0.50)</w:t>
            </w:r>
          </w:p>
        </w:tc>
      </w:tr>
    </w:tbl>
    <w:p>
      <w:pPr>
        <w:spacing w:after="320"/>
      </w:pPr>
    </w:p>
    <w:p>
      <w:pPr>
        <w:pStyle w:val="Heading1"/>
      </w:pPr>
      <w:r>
        <w:rPr>
          <w:rFonts w:ascii="Segoe UI" w:hAnsi="Segoe UI"/>
          <w:color w:val="0A2540"/>
          <w:sz w:val="30"/>
        </w:rPr>
        <w:t>1. Executive Summary &amp; Abstract</w:t>
      </w:r>
    </w:p>
    <w:p>
      <w:r>
        <w:t>Traditional environmental hazard monitoring systems rely on centralized cloud architectures where edge sensors stream continuous telemetry to centralized ingest gateways. During catastrophic emergencies—such as wildfires, toxic industrial emissions, or post-disaster infrastructure collapses—communication backhauls are often severed, rendering centralized monitoring platforms useless. This project introduces a self-organizing, decentralized multi-agent system (MAS) capable of autonomous edge sensing, local machine learning inference, peer-to-peer (P2P) spatial consensus, and dynamic network topology self-healing.</w:t>
      </w:r>
    </w:p>
    <w:p>
      <w:r>
        <w:t>Each autonomous agent monitors six environmental parameters: temperature, humidity, smoke density, carbon dioxide (CO2), air quality index (AQI), and soil moisture. Using an on-node scikit-learn Isolation Forest model, agents perform unsupervised anomaly detection directly at the physical edge, categorizing anomalous signatures into specific hazard events (FIRE, POLLUTION, EXTREME HEAT). When an anomaly emerges, the agent broadcasts an alert to its active proximate neighbors, initiating a localized quorum voting protocol. If neighbor confidence exceeds 50%, the hazard is confirmed. If an edge agent suffers physical destruction, an autonomous NetworkX-based self-healing protocol prunes severed links and reorganizes the communication mesh using Manhattan proximity reconnection (d ≤ 4), restoring global network biconnectivity in under 20 milliseconds.</w:t>
      </w:r>
    </w:p>
    <w:p>
      <w:pPr>
        <w:pStyle w:val="Heading1"/>
      </w:pPr>
      <w:r>
        <w:rPr>
          <w:rFonts w:ascii="Segoe UI" w:hAnsi="Segoe UI"/>
          <w:color w:val="0A2540"/>
          <w:sz w:val="30"/>
        </w:rPr>
        <w:t>2. Problem Formulation &amp; Limitations of Monolithic IoT</w:t>
      </w:r>
    </w:p>
    <w:p>
      <w:r>
        <w:t>In critical environmental hazard management, systems operate in high-risk, hostile conditions characterized by dynamic physical hazards and fragile communication environments. Traditional centralized Internet of Things (IoT) architectures suffer from four foundational vulnerabilities:</w:t>
      </w:r>
    </w:p>
    <w:p>
      <w:r>
        <w:rPr>
          <w:b/>
        </w:rPr>
        <w:t xml:space="preserve">1. Single Point of Failure (SPOF): </w:t>
      </w:r>
      <w:r>
        <w:t>In a centralized cloud topology, all decision-making occurs remotely. If the central cloud server, local base station, or cellular mast is destroyed (a frequent occurrence in high-heat wildfire fronts), the entire regional monitoring apparatus goes completely blind.</w:t>
      </w:r>
    </w:p>
    <w:p>
      <w:r>
        <w:rPr>
          <w:b/>
        </w:rPr>
        <w:t xml:space="preserve">2. Bandwidth Saturation &amp; Latency Delays: </w:t>
      </w:r>
      <w:r>
        <w:t>Continuous streaming of high-frequency multi-sensor telemetry across hundreds of nodes saturates low-bandwidth emergency wireless spectrum. Queuing delays and cloud ingestion pipelines introduce critical seconds of delay when early hazard intervention demands sub-second response.</w:t>
      </w:r>
    </w:p>
    <w:p>
      <w:r>
        <w:rPr>
          <w:b/>
        </w:rPr>
        <w:t xml:space="preserve">3. Sensor Drift &amp; Costly False Positives: </w:t>
      </w:r>
      <w:r>
        <w:t>Individual physical sensors are prone to electrical noise, particulate fouling, and calibration drift. Without localized spatial cross-validation from adjacent nodes, a single glitchy sensor can trigger an expensive, unnecessary emergency dispatch.</w:t>
      </w:r>
    </w:p>
    <w:p>
      <w:r>
        <w:rPr>
          <w:b/>
        </w:rPr>
        <w:t xml:space="preserve">4. Fragility of Rigid Star Topologies: </w:t>
      </w:r>
      <w:r>
        <w:t>Standard IoT star topologies route all edge nodes through fixed parent gateways. When a gateway is incinerated or loses power, all downstream sensors are permanently isolated, fragmenting the network into unrecoverable partitions.</w:t>
      </w:r>
    </w:p>
    <w:p>
      <w:pPr>
        <w:pStyle w:val="Heading1"/>
      </w:pPr>
      <w:r>
        <w:rPr>
          <w:rFonts w:ascii="Segoe UI" w:hAnsi="Segoe UI"/>
          <w:color w:val="0A2540"/>
          <w:sz w:val="30"/>
        </w:rPr>
        <w:t>3. End-to-End System Architecture</w:t>
      </w:r>
    </w:p>
    <w:p>
      <w:r>
        <w:t>The system architecture is structured into four distinct layers, ensuring clean separation of concerns, high throughput, and robust fault isolation: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r>
              <w:rPr>
                <w:rFonts w:ascii="Segoe UI" w:hAnsi="Segoe UI"/>
                <w:b/>
                <w:color w:val="2B6CB0"/>
                <w:sz w:val="20"/>
              </w:rPr>
              <w:t>LAYER 1 — MISSION CONTROL WEB APPLICATION (Next.js 14)</w:t>
              <w:br/>
            </w:r>
            <w:r>
              <w:rPr>
                <w:rFonts w:ascii="Segoe UI" w:hAnsi="Segoe UI"/>
                <w:color w:val="2D3748"/>
                <w:sz w:val="19"/>
              </w:rPr>
              <w:t>Built on React 18 and TypeScript with Tailwind CSS styling. Structured into six operational modules:</w:t>
              <w:br/>
              <w:t>• Command Center (/command-center): Live spatial map using Leaflet GIS, fleet HUD metrics, and real-time activity stream.</w:t>
              <w:br/>
              <w:t>• Agent Operations (/agents): Fleet table with battery/health gauges, agent inspector drawer, and manual sensor sliders.</w:t>
              <w:br/>
              <w:t>• Network Intelligence (/network): Interactive NetworkX topology visualizer, failure simulation, and self-organization triggers.</w:t>
              <w:br/>
              <w:t>• Incident Management (/incidents): Multi-hazard triggers (FIRE, POLLUTION, EXTREME HEAT) and decentralized consensus drilldown.</w:t>
              <w:br/>
              <w:t>• Environmental Analytics (/analytics): Time-series Recharts for temperature, smoke, CO2, AQI, and recovery benchmarks.</w:t>
              <w:br/>
              <w:t>• System History (/history): Searchable, immutable audit timeline categorized by event types.</w:t>
            </w:r>
          </w:p>
        </w:tc>
      </w:tr>
    </w:tbl>
    <w:p>
      <w:pPr>
        <w:spacing w:after="16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r>
              <w:rPr>
                <w:rFonts w:ascii="Segoe UI" w:hAnsi="Segoe UI"/>
                <w:b/>
                <w:color w:val="2B6CB0"/>
                <w:sz w:val="20"/>
              </w:rPr>
              <w:t>LAYER 2 — APPLICATION BACKEND &amp; COORDINATION (FastAPI 0.141+)</w:t>
              <w:br/>
            </w:r>
            <w:r>
              <w:rPr>
                <w:rFonts w:ascii="Segoe UI" w:hAnsi="Segoe UI"/>
                <w:color w:val="2D3748"/>
                <w:sz w:val="19"/>
              </w:rPr>
              <w:t>Asynchronous ASGI server powered by Uvicorn. Exposes 22 REST API endpoints covering fleet operations, simulation stepping, event triggering, network healing, and audit queries. Includes WebSocketManager providing real-time bidirectional JSON state streaming over WebSockets (/ws), pushing state deltas instantly to connected browser clients.</w:t>
            </w:r>
          </w:p>
        </w:tc>
      </w:tr>
    </w:tbl>
    <w:p>
      <w:pPr>
        <w:spacing w:after="16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r>
              <w:rPr>
                <w:rFonts w:ascii="Segoe UI" w:hAnsi="Segoe UI"/>
                <w:b/>
                <w:color w:val="2B6CB0"/>
                <w:sz w:val="20"/>
              </w:rPr>
              <w:t>LAYER 3 — INTELLIGENT ENGINE TRIAD</w:t>
              <w:br/>
            </w:r>
            <w:r>
              <w:rPr>
                <w:rFonts w:ascii="Segoe UI" w:hAnsi="Segoe UI"/>
                <w:color w:val="2D3748"/>
                <w:sz w:val="19"/>
              </w:rPr>
              <w:t>• AI Engine (ai/): Scikit-learn Isolation Forest (200 estimators, 0.05 contamination) for 6D anomaly detection and contextual rule classifier.</w:t>
              <w:br/>
              <w:t>• Agent Engine (agents/): MonitoringAgent encapsulating sensing, battery, dynamic health scores, and localized consensus mechanics.</w:t>
              <w:br/>
              <w:t>• Network Engine (network/): NetworkX undirected graph model managing mesh topology, link pruning, and Manhattan proximity healing.</w:t>
            </w:r>
          </w:p>
        </w:tc>
      </w:tr>
    </w:tbl>
    <w:p>
      <w:pPr>
        <w:spacing w:after="160"/>
      </w:pP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r>
              <w:rPr>
                <w:rFonts w:ascii="Segoe UI" w:hAnsi="Segoe UI"/>
                <w:b/>
                <w:color w:val="2B6CB0"/>
                <w:sz w:val="20"/>
              </w:rPr>
              <w:t>LAYER 4 — RELATIONAL PERSISTENCE (SQLAlchemy 2.0 ORM)</w:t>
              <w:br/>
            </w:r>
            <w:r>
              <w:rPr>
                <w:rFonts w:ascii="Segoe UI" w:hAnsi="Segoe UI"/>
                <w:color w:val="2D3748"/>
                <w:sz w:val="19"/>
              </w:rPr>
              <w:t>Relational database layer configured for embedded SQLite (development) and PostgreSQL / Supabase (production). Maintains seven normalized tables ensuring strict ACID compliance, spatial coordinate persistence, and immutable audit logging.</w:t>
            </w:r>
          </w:p>
        </w:tc>
      </w:tr>
    </w:tbl>
    <w:p>
      <w:pPr>
        <w:spacing w:after="160"/>
      </w:pPr>
    </w:p>
    <w:p>
      <w:pPr>
        <w:pStyle w:val="Heading1"/>
      </w:pPr>
      <w:r>
        <w:rPr>
          <w:rFonts w:ascii="Segoe UI" w:hAnsi="Segoe UI"/>
          <w:color w:val="0A2540"/>
          <w:sz w:val="30"/>
        </w:rPr>
        <w:t>4. Multi-Agent Taxonomy &amp; Functional Roles</w:t>
      </w:r>
    </w:p>
    <w:p>
      <w:r>
        <w:t>Under `agents/monitoring_agent.py`, each agent dynamically adopts specialized functional responsibilities depending on its hardware profile, operational zone, and active hazard context. Five agent roles are implemented:</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80" w:type="dxa"/>
              <w:bottom w:w="80" w:type="dxa"/>
              <w:left w:w="100" w:type="dxa"/>
              <w:right w:w="100" w:type="dxa"/>
            </w:tcMar>
          </w:tcPr>
          <w:p>
            <w:r>
              <w:rPr>
                <w:rFonts w:ascii="Segoe UI" w:hAnsi="Segoe UI"/>
                <w:b/>
                <w:color w:val="FFFFFF"/>
                <w:sz w:val="18"/>
              </w:rPr>
              <w:t>Agent Specialization</w:t>
            </w:r>
          </w:p>
        </w:tc>
        <w:tc>
          <w:tcPr>
            <w:tcW w:type="dxa" w:w="2340"/>
            <w:shd w:fill="2B6CB0"/>
            <w:tcMar>
              <w:top w:w="80" w:type="dxa"/>
              <w:bottom w:w="80" w:type="dxa"/>
              <w:left w:w="100" w:type="dxa"/>
              <w:right w:w="100" w:type="dxa"/>
            </w:tcMar>
          </w:tcPr>
          <w:p>
            <w:r>
              <w:rPr>
                <w:rFonts w:ascii="Segoe UI" w:hAnsi="Segoe UI"/>
                <w:b/>
                <w:color w:val="FFFFFF"/>
                <w:sz w:val="18"/>
              </w:rPr>
              <w:t>Primary Sensory Inputs</w:t>
            </w:r>
          </w:p>
        </w:tc>
        <w:tc>
          <w:tcPr>
            <w:tcW w:type="dxa" w:w="2340"/>
            <w:shd w:fill="2B6CB0"/>
            <w:tcMar>
              <w:top w:w="80" w:type="dxa"/>
              <w:bottom w:w="80" w:type="dxa"/>
              <w:left w:w="100" w:type="dxa"/>
              <w:right w:w="100" w:type="dxa"/>
            </w:tcMar>
          </w:tcPr>
          <w:p>
            <w:r>
              <w:rPr>
                <w:rFonts w:ascii="Segoe UI" w:hAnsi="Segoe UI"/>
                <w:b/>
                <w:color w:val="FFFFFF"/>
                <w:sz w:val="18"/>
              </w:rPr>
              <w:t>Decision &amp; Inference Logic</w:t>
            </w:r>
          </w:p>
        </w:tc>
        <w:tc>
          <w:tcPr>
            <w:tcW w:type="dxa" w:w="2340"/>
            <w:shd w:fill="2B6CB0"/>
            <w:tcMar>
              <w:top w:w="80" w:type="dxa"/>
              <w:bottom w:w="80" w:type="dxa"/>
              <w:left w:w="100" w:type="dxa"/>
              <w:right w:w="100" w:type="dxa"/>
            </w:tcMar>
          </w:tcPr>
          <w:p>
            <w:r>
              <w:rPr>
                <w:rFonts w:ascii="Segoe UI" w:hAnsi="Segoe UI"/>
                <w:b/>
                <w:color w:val="FFFFFF"/>
                <w:sz w:val="18"/>
              </w:rPr>
              <w:t>Operational Mission</w:t>
            </w:r>
          </w:p>
        </w:tc>
      </w:tr>
      <w:tr>
        <w:tc>
          <w:tcPr>
            <w:tcW w:type="dxa" w:w="2340"/>
            <w:shd w:fill="F7FAFC"/>
            <w:tcMar>
              <w:top w:w="60" w:type="dxa"/>
              <w:bottom w:w="60" w:type="dxa"/>
              <w:left w:w="80" w:type="dxa"/>
              <w:right w:w="80" w:type="dxa"/>
            </w:tcMar>
          </w:tcPr>
          <w:p>
            <w:r>
              <w:rPr>
                <w:rFonts w:ascii="Segoe UI" w:hAnsi="Segoe UI"/>
                <w:color w:val="2D3748"/>
                <w:sz w:val="17"/>
              </w:rPr>
              <w:t>Canopy Thermal Drone</w:t>
            </w:r>
          </w:p>
        </w:tc>
        <w:tc>
          <w:tcPr>
            <w:tcW w:type="dxa" w:w="2340"/>
            <w:shd w:fill="F7FAFC"/>
            <w:tcMar>
              <w:top w:w="60" w:type="dxa"/>
              <w:bottom w:w="60" w:type="dxa"/>
              <w:left w:w="80" w:type="dxa"/>
              <w:right w:w="80" w:type="dxa"/>
            </w:tcMar>
          </w:tcPr>
          <w:p>
            <w:r>
              <w:rPr>
                <w:rFonts w:ascii="Segoe UI" w:hAnsi="Segoe UI"/>
                <w:color w:val="2D3748"/>
                <w:sz w:val="17"/>
              </w:rPr>
              <w:t>Temperature, Smoke, Battery</w:t>
            </w:r>
          </w:p>
        </w:tc>
        <w:tc>
          <w:tcPr>
            <w:tcW w:type="dxa" w:w="2340"/>
            <w:shd w:fill="F7FAFC"/>
            <w:tcMar>
              <w:top w:w="60" w:type="dxa"/>
              <w:bottom w:w="60" w:type="dxa"/>
              <w:left w:w="80" w:type="dxa"/>
              <w:right w:w="80" w:type="dxa"/>
            </w:tcMar>
          </w:tcPr>
          <w:p>
            <w:r>
              <w:rPr>
                <w:rFonts w:ascii="Segoe UI" w:hAnsi="Segoe UI"/>
                <w:color w:val="2D3748"/>
                <w:sz w:val="17"/>
              </w:rPr>
              <w:t>Infrared combustion profiling; detects thermal plumes ≥ 40°C</w:t>
            </w:r>
          </w:p>
        </w:tc>
        <w:tc>
          <w:tcPr>
            <w:tcW w:type="dxa" w:w="2340"/>
            <w:shd w:fill="F7FAFC"/>
            <w:tcMar>
              <w:top w:w="60" w:type="dxa"/>
              <w:bottom w:w="60" w:type="dxa"/>
              <w:left w:w="80" w:type="dxa"/>
              <w:right w:w="80" w:type="dxa"/>
            </w:tcMar>
          </w:tcPr>
          <w:p>
            <w:r>
              <w:rPr>
                <w:rFonts w:ascii="Segoe UI" w:hAnsi="Segoe UI"/>
                <w:color w:val="2D3748"/>
                <w:sz w:val="17"/>
              </w:rPr>
              <w:t>Autonomous forest canopy transect patrol and combustion boundary profiling.</w:t>
            </w:r>
          </w:p>
        </w:tc>
      </w:tr>
      <w:tr>
        <w:tc>
          <w:tcPr>
            <w:tcW w:type="dxa" w:w="2340"/>
            <w:shd w:fill="EDF2F7"/>
            <w:tcMar>
              <w:top w:w="60" w:type="dxa"/>
              <w:bottom w:w="60" w:type="dxa"/>
              <w:left w:w="80" w:type="dxa"/>
              <w:right w:w="80" w:type="dxa"/>
            </w:tcMar>
          </w:tcPr>
          <w:p>
            <w:r>
              <w:rPr>
                <w:rFonts w:ascii="Segoe UI" w:hAnsi="Segoe UI"/>
                <w:color w:val="2D3748"/>
                <w:sz w:val="17"/>
              </w:rPr>
              <w:t>Atmospheric Sentry Node</w:t>
            </w:r>
          </w:p>
        </w:tc>
        <w:tc>
          <w:tcPr>
            <w:tcW w:type="dxa" w:w="2340"/>
            <w:shd w:fill="EDF2F7"/>
            <w:tcMar>
              <w:top w:w="60" w:type="dxa"/>
              <w:bottom w:w="60" w:type="dxa"/>
              <w:left w:w="80" w:type="dxa"/>
              <w:right w:w="80" w:type="dxa"/>
            </w:tcMar>
          </w:tcPr>
          <w:p>
            <w:r>
              <w:rPr>
                <w:rFonts w:ascii="Segoe UI" w:hAnsi="Segoe UI"/>
                <w:color w:val="2D3748"/>
                <w:sz w:val="17"/>
              </w:rPr>
              <w:t>CO2, Air Quality (AQI), Smoke</w:t>
            </w:r>
          </w:p>
        </w:tc>
        <w:tc>
          <w:tcPr>
            <w:tcW w:type="dxa" w:w="2340"/>
            <w:shd w:fill="EDF2F7"/>
            <w:tcMar>
              <w:top w:w="60" w:type="dxa"/>
              <w:bottom w:w="60" w:type="dxa"/>
              <w:left w:w="80" w:type="dxa"/>
              <w:right w:w="80" w:type="dxa"/>
            </w:tcMar>
          </w:tcPr>
          <w:p>
            <w:r>
              <w:rPr>
                <w:rFonts w:ascii="Segoe UI" w:hAnsi="Segoe UI"/>
                <w:color w:val="2D3748"/>
                <w:sz w:val="17"/>
              </w:rPr>
              <w:t>Evaluates CO2 ≥ 800 ppm and AQI ≥ 120 particulate degradation</w:t>
            </w:r>
          </w:p>
        </w:tc>
        <w:tc>
          <w:tcPr>
            <w:tcW w:type="dxa" w:w="2340"/>
            <w:shd w:fill="EDF2F7"/>
            <w:tcMar>
              <w:top w:w="60" w:type="dxa"/>
              <w:bottom w:w="60" w:type="dxa"/>
              <w:left w:w="80" w:type="dxa"/>
              <w:right w:w="80" w:type="dxa"/>
            </w:tcMar>
          </w:tcPr>
          <w:p>
            <w:r>
              <w:rPr>
                <w:rFonts w:ascii="Segoe UI" w:hAnsi="Segoe UI"/>
                <w:color w:val="2D3748"/>
                <w:sz w:val="17"/>
              </w:rPr>
              <w:t>Continuous greenhouse gas and hazardous particulate plume dispersion monitoring.</w:t>
            </w:r>
          </w:p>
        </w:tc>
      </w:tr>
      <w:tr>
        <w:tc>
          <w:tcPr>
            <w:tcW w:type="dxa" w:w="2340"/>
            <w:shd w:fill="F7FAFC"/>
            <w:tcMar>
              <w:top w:w="60" w:type="dxa"/>
              <w:bottom w:w="60" w:type="dxa"/>
              <w:left w:w="80" w:type="dxa"/>
              <w:right w:w="80" w:type="dxa"/>
            </w:tcMar>
          </w:tcPr>
          <w:p>
            <w:r>
              <w:rPr>
                <w:rFonts w:ascii="Segoe UI" w:hAnsi="Segoe UI"/>
                <w:color w:val="2D3748"/>
                <w:sz w:val="17"/>
              </w:rPr>
              <w:t>Riparian Hydrology Sensor</w:t>
            </w:r>
          </w:p>
        </w:tc>
        <w:tc>
          <w:tcPr>
            <w:tcW w:type="dxa" w:w="2340"/>
            <w:shd w:fill="F7FAFC"/>
            <w:tcMar>
              <w:top w:w="60" w:type="dxa"/>
              <w:bottom w:w="60" w:type="dxa"/>
              <w:left w:w="80" w:type="dxa"/>
              <w:right w:w="80" w:type="dxa"/>
            </w:tcMar>
          </w:tcPr>
          <w:p>
            <w:r>
              <w:rPr>
                <w:rFonts w:ascii="Segoe UI" w:hAnsi="Segoe UI"/>
                <w:color w:val="2D3748"/>
                <w:sz w:val="17"/>
              </w:rPr>
              <w:t>Soil Moisture, Humidity, Temp</w:t>
            </w:r>
          </w:p>
        </w:tc>
        <w:tc>
          <w:tcPr>
            <w:tcW w:type="dxa" w:w="2340"/>
            <w:shd w:fill="F7FAFC"/>
            <w:tcMar>
              <w:top w:w="60" w:type="dxa"/>
              <w:bottom w:w="60" w:type="dxa"/>
              <w:left w:w="80" w:type="dxa"/>
              <w:right w:w="80" w:type="dxa"/>
            </w:tcMar>
          </w:tcPr>
          <w:p>
            <w:r>
              <w:rPr>
                <w:rFonts w:ascii="Segoe UI" w:hAnsi="Segoe UI"/>
                <w:color w:val="2D3748"/>
                <w:sz w:val="17"/>
              </w:rPr>
              <w:t>Detects stream moisture drops (&lt;25%) and thermal baseline flux</w:t>
            </w:r>
          </w:p>
        </w:tc>
        <w:tc>
          <w:tcPr>
            <w:tcW w:type="dxa" w:w="2340"/>
            <w:shd w:fill="F7FAFC"/>
            <w:tcMar>
              <w:top w:w="60" w:type="dxa"/>
              <w:bottom w:w="60" w:type="dxa"/>
              <w:left w:w="80" w:type="dxa"/>
              <w:right w:w="80" w:type="dxa"/>
            </w:tcMar>
          </w:tcPr>
          <w:p>
            <w:r>
              <w:rPr>
                <w:rFonts w:ascii="Segoe UI" w:hAnsi="Segoe UI"/>
                <w:color w:val="2D3748"/>
                <w:sz w:val="17"/>
              </w:rPr>
              <w:t>Riparian stream basin and watershed hydrological flux monitoring.</w:t>
            </w:r>
          </w:p>
        </w:tc>
      </w:tr>
      <w:tr>
        <w:tc>
          <w:tcPr>
            <w:tcW w:type="dxa" w:w="2340"/>
            <w:shd w:fill="EDF2F7"/>
            <w:tcMar>
              <w:top w:w="60" w:type="dxa"/>
              <w:bottom w:w="60" w:type="dxa"/>
              <w:left w:w="80" w:type="dxa"/>
              <w:right w:w="80" w:type="dxa"/>
            </w:tcMar>
          </w:tcPr>
          <w:p>
            <w:r>
              <w:rPr>
                <w:rFonts w:ascii="Segoe UI" w:hAnsi="Segoe UI"/>
                <w:color w:val="2D3748"/>
                <w:sz w:val="17"/>
              </w:rPr>
              <w:t>Sub-Canopy Soil Probe</w:t>
            </w:r>
          </w:p>
        </w:tc>
        <w:tc>
          <w:tcPr>
            <w:tcW w:type="dxa" w:w="2340"/>
            <w:shd w:fill="EDF2F7"/>
            <w:tcMar>
              <w:top w:w="60" w:type="dxa"/>
              <w:bottom w:w="60" w:type="dxa"/>
              <w:left w:w="80" w:type="dxa"/>
              <w:right w:w="80" w:type="dxa"/>
            </w:tcMar>
          </w:tcPr>
          <w:p>
            <w:r>
              <w:rPr>
                <w:rFonts w:ascii="Segoe UI" w:hAnsi="Segoe UI"/>
                <w:color w:val="2D3748"/>
                <w:sz w:val="17"/>
              </w:rPr>
              <w:t>Soil Moisture, Temp, Smoke</w:t>
            </w:r>
          </w:p>
        </w:tc>
        <w:tc>
          <w:tcPr>
            <w:tcW w:type="dxa" w:w="2340"/>
            <w:shd w:fill="EDF2F7"/>
            <w:tcMar>
              <w:top w:w="60" w:type="dxa"/>
              <w:bottom w:w="60" w:type="dxa"/>
              <w:left w:w="80" w:type="dxa"/>
              <w:right w:w="80" w:type="dxa"/>
            </w:tcMar>
          </w:tcPr>
          <w:p>
            <w:r>
              <w:rPr>
                <w:rFonts w:ascii="Segoe UI" w:hAnsi="Segoe UI"/>
                <w:color w:val="2D3748"/>
                <w:sz w:val="17"/>
              </w:rPr>
              <w:t>Root-level smoldering detection and microbial thermal survey</w:t>
            </w:r>
          </w:p>
        </w:tc>
        <w:tc>
          <w:tcPr>
            <w:tcW w:type="dxa" w:w="2340"/>
            <w:shd w:fill="EDF2F7"/>
            <w:tcMar>
              <w:top w:w="60" w:type="dxa"/>
              <w:bottom w:w="60" w:type="dxa"/>
              <w:left w:w="80" w:type="dxa"/>
              <w:right w:w="80" w:type="dxa"/>
            </w:tcMar>
          </w:tcPr>
          <w:p>
            <w:r>
              <w:rPr>
                <w:rFonts w:ascii="Segoe UI" w:hAnsi="Segoe UI"/>
                <w:color w:val="2D3748"/>
                <w:sz w:val="17"/>
              </w:rPr>
              <w:t>Subterranean organic burn and soil dryness tracking beneath ground cover.</w:t>
            </w:r>
          </w:p>
        </w:tc>
      </w:tr>
      <w:tr>
        <w:tc>
          <w:tcPr>
            <w:tcW w:type="dxa" w:w="2340"/>
            <w:shd w:fill="F7FAFC"/>
            <w:tcMar>
              <w:top w:w="60" w:type="dxa"/>
              <w:bottom w:w="60" w:type="dxa"/>
              <w:left w:w="80" w:type="dxa"/>
              <w:right w:w="80" w:type="dxa"/>
            </w:tcMar>
          </w:tcPr>
          <w:p>
            <w:r>
              <w:rPr>
                <w:rFonts w:ascii="Segoe UI" w:hAnsi="Segoe UI"/>
                <w:color w:val="2D3748"/>
                <w:sz w:val="17"/>
              </w:rPr>
              <w:t>Autonomous Mesh Relay</w:t>
            </w:r>
          </w:p>
        </w:tc>
        <w:tc>
          <w:tcPr>
            <w:tcW w:type="dxa" w:w="2340"/>
            <w:shd w:fill="F7FAFC"/>
            <w:tcMar>
              <w:top w:w="60" w:type="dxa"/>
              <w:bottom w:w="60" w:type="dxa"/>
              <w:left w:w="80" w:type="dxa"/>
              <w:right w:w="80" w:type="dxa"/>
            </w:tcMar>
          </w:tcPr>
          <w:p>
            <w:r>
              <w:rPr>
                <w:rFonts w:ascii="Segoe UI" w:hAnsi="Segoe UI"/>
                <w:color w:val="2D3748"/>
                <w:sz w:val="17"/>
              </w:rPr>
              <w:t>Neighbor Links, Battery, Latency</w:t>
            </w:r>
          </w:p>
        </w:tc>
        <w:tc>
          <w:tcPr>
            <w:tcW w:type="dxa" w:w="2340"/>
            <w:shd w:fill="F7FAFC"/>
            <w:tcMar>
              <w:top w:w="60" w:type="dxa"/>
              <w:bottom w:w="60" w:type="dxa"/>
              <w:left w:w="80" w:type="dxa"/>
              <w:right w:w="80" w:type="dxa"/>
            </w:tcMar>
          </w:tcPr>
          <w:p>
            <w:r>
              <w:rPr>
                <w:rFonts w:ascii="Segoe UI" w:hAnsi="Segoe UI"/>
                <w:color w:val="2D3748"/>
                <w:sz w:val="17"/>
              </w:rPr>
              <w:t>Graph biconnectivity optimization; Manhattan proximity routing</w:t>
            </w:r>
          </w:p>
        </w:tc>
        <w:tc>
          <w:tcPr>
            <w:tcW w:type="dxa" w:w="2340"/>
            <w:shd w:fill="F7FAFC"/>
            <w:tcMar>
              <w:top w:w="60" w:type="dxa"/>
              <w:bottom w:w="60" w:type="dxa"/>
              <w:left w:w="80" w:type="dxa"/>
              <w:right w:w="80" w:type="dxa"/>
            </w:tcMar>
          </w:tcPr>
          <w:p>
            <w:r>
              <w:rPr>
                <w:rFonts w:ascii="Segoe UI" w:hAnsi="Segoe UI"/>
                <w:color w:val="2D3748"/>
                <w:sz w:val="17"/>
              </w:rPr>
              <w:t>Decentralized P2P mesh routing, alert forwarding, and consensus aggregation.</w:t>
            </w:r>
          </w:p>
        </w:tc>
      </w:tr>
    </w:tbl>
    <w:p>
      <w:pPr>
        <w:spacing w:after="240"/>
      </w:pPr>
    </w:p>
    <w:p>
      <w:r>
        <w:rPr>
          <w:b/>
        </w:rPr>
        <w:t>Dynamic Health &amp; Reliability Formulations:</w:t>
        <w:br/>
      </w:r>
      <w:r>
        <w:t>Each agent evaluates its own operational integrity continuously via two dynamic property formulas:</w:t>
        <w:br/>
        <w:t>• Health Index (0–100): Base score of 100, penalized by -20 if battery &lt; 30%, -10 if battery &lt; 60%, and -15 if operating under extreme temperature (&gt;45°C) or dense smoke (&gt;0.80).</w:t>
        <w:br/>
        <w:t>• Connectivity Index (0–100): Min(100, Active Neighbors * 33.4), guaranteeing full 100% rating at 3 or more active peers.</w:t>
        <w:br/>
        <w:t>• Reliability Index: Computed as (Health * 0.6) + (Battery * 0.4), prioritizing healthy, power-stable nodes during neighborhood voting.</w:t>
      </w:r>
    </w:p>
    <w:p>
      <w:pPr>
        <w:pStyle w:val="Heading1"/>
      </w:pPr>
      <w:r>
        <w:rPr>
          <w:rFonts w:ascii="Segoe UI" w:hAnsi="Segoe UI"/>
          <w:color w:val="0A2540"/>
          <w:sz w:val="30"/>
        </w:rPr>
        <w:t>5. Core Algorithms &amp; Mathematical Formulations</w:t>
      </w:r>
    </w:p>
    <w:p>
      <w:r>
        <w:t>The system's technical core is driven by three interconnected mathematical algorithms:</w:t>
      </w:r>
    </w:p>
    <w:p>
      <w:pPr>
        <w:pStyle w:val="Heading2"/>
      </w:pPr>
      <w:r>
        <w:t>5.1 Isolation Forest Anomaly Detection (ai/anomaly_detector.py)</w:t>
      </w:r>
    </w:p>
    <w:p>
      <w:r>
        <w:t>The Isolation Forest algorithm isolates anomalous observations by randomly selecting a feature and a random split value between the maximum and minimum values of that feature. Because anomalies deviate significantly from normal baseline distributions, they are isolated at shallow depths in binary tree partitions.</w:t>
      </w:r>
    </w:p>
    <w:p>
      <w:r>
        <w:t>Let h(x) be the path length of observation x in an isolation tree, and c(n) be the average path length of unsuccessful searches in a Binary Search Tree (BST) over n samples: c(n) = 2(ln(n - 1) + 0.5772156649) - (2(n - 1) / n). The anomaly score s(x, n) is defined as:</w:t>
      </w:r>
    </w:p>
    <w:p>
      <w:pPr>
        <w:jc w:val="center"/>
      </w:pPr>
      <w:r>
        <w:rPr>
          <w:rFonts w:ascii="Segoe UI" w:hAnsi="Segoe UI"/>
          <w:b/>
          <w:color w:val="2B6CB0"/>
          <w:sz w:val="22"/>
        </w:rPr>
        <w:t>s(x, n) = 2^(- E(h(x)) / c(n))</w:t>
      </w:r>
    </w:p>
    <w:p>
      <w:r>
        <w:t>When s -&gt; 1, the instance is definitively anomalous. In our implementation (`ai/train_model.py`), the model is trained on 1,000 baseline environmental vectors using n_estimators=200 and contamination=0.05. Model inference runs in &lt;1.5ms, outputting status (NORMAL / ANOMALY) and a decision function score.</w:t>
      </w:r>
    </w:p>
    <w:p>
      <w:pPr>
        <w:pStyle w:val="Heading2"/>
      </w:pPr>
      <w:r>
        <w:t>5.2 Contextual Multi-Hazard Rule Classification (ai/event_classifier.py)</w:t>
      </w:r>
    </w:p>
    <w:p>
      <w:r>
        <w:t>When the Isolation Forest flags an anomaly, the reading is evaluated against deterministic contextual multi-sensor boundaries:</w:t>
      </w:r>
    </w:p>
    <w:p>
      <w:r>
        <w:t>• FIRE: Temperature ≥ 40.0°C AND Humidity ≤ 30.0% AND Smoke Density ≥ 0.50</w:t>
        <w:br/>
        <w:t>• POLLUTION: CO2 ≥ 800.0 ppm AND Air Quality (AQI) ≥ 120.0 AND Smoke Density ≥ 0.30</w:t>
        <w:br/>
        <w:t>• EXTREME HEAT: Temperature ≥ 40.0°C with non-combustion particulates (Smoke &lt; 0.30)</w:t>
        <w:br/>
        <w:t>• OTHER ANOMALY: Statistical outlier in multi-sensor space outside the above signatures.</w:t>
      </w:r>
    </w:p>
    <w:p>
      <w:pPr>
        <w:pStyle w:val="Heading2"/>
      </w:pPr>
      <w:r>
        <w:t>5.3 Local Neighborhood Consensus (agents/consensus.py)</w:t>
      </w:r>
    </w:p>
    <w:p>
      <w:r>
        <w:t>To prevent solitary sensor drift from triggering false alarms, alerts are cross-validated through decentralized localized consensus. The initiating agent queries active neighbors in its direct graph neighborhood. The consensus confidence is calculated as:</w:t>
      </w:r>
    </w:p>
    <w:p>
      <w:pPr>
        <w:jc w:val="center"/>
      </w:pPr>
      <w:r>
        <w:rPr>
          <w:rFonts w:ascii="Segoe UI" w:hAnsi="Segoe UI"/>
          <w:b/>
          <w:color w:val="2B6CB0"/>
          <w:sz w:val="22"/>
        </w:rPr>
        <w:t>Confidence = (Count of Agreeing Neighbors) / (Total Active Local Neighborhood)</w:t>
      </w:r>
    </w:p>
    <w:p>
      <w:r>
        <w:t>Consensus is confirmed when Confidence ≥ θ, where θ is the simple majority threshold of 0.50. Confirmed incidents are committed to the relational database with complete evidence voter distributions.</w:t>
      </w:r>
    </w:p>
    <w:p>
      <w:pPr>
        <w:pStyle w:val="Heading2"/>
      </w:pPr>
      <w:r>
        <w:t>5.4 Manhattan Proximity Topology Self-Organization (network/network_manager.py)</w:t>
      </w:r>
    </w:p>
    <w:p>
      <w:r>
        <w:t>When an agent suffers hardware failure or physical destruction, all incident edges connected to that node are dropped. The autonomous reorganization protocol executes the following sequence:</w:t>
        <w:br/>
        <w:t>1. Identify all surviving active agents where status == 'ACTIVE'.</w:t>
        <w:br/>
        <w:t>2. For each pair of active agents (A, B) without an existing communication link, compute the rectilinear Manhattan distance:</w:t>
        <w:br/>
        <w:t xml:space="preserve">   D(A, B) = |x_A - x_B| + |y_A - y_B|</w:t>
        <w:br/>
        <w:t>3. If D(A, B) ≤ 4, dynamically insert edge (A, B) into the NetworkX undirected graph.</w:t>
        <w:br/>
        <w:t>4. Validate global graph biconnectivity via `nx.is_connected(subgraph)`.</w:t>
        <w:br/>
        <w:t>In empirical testing across 20 nodes, the self-healing routine restores global mesh biconnectivity in 12 to 18 milliseconds.</w:t>
      </w:r>
    </w:p>
    <w:p>
      <w:pPr>
        <w:pStyle w:val="Heading1"/>
      </w:pPr>
      <w:r>
        <w:rPr>
          <w:rFonts w:ascii="Segoe UI" w:hAnsi="Segoe UI"/>
          <w:color w:val="0A2540"/>
          <w:sz w:val="30"/>
        </w:rPr>
        <w:t>6. Relational Persistence Schema &amp; Data Pipeline</w:t>
      </w:r>
    </w:p>
    <w:p>
      <w:r>
        <w:t>Under `backend/models.py`, seven relational database tables ensure persistent state tracking and audit compliance:</w:t>
      </w:r>
    </w:p>
    <w:tbl>
      <w:tblPr>
        <w:tblW w:type="auto" w:w="0"/>
        <w:jc w:val="center"/>
        <w:tblLook w:firstColumn="1" w:firstRow="1" w:lastColumn="0" w:lastRow="0" w:noHBand="0" w:noVBand="1" w:val="04A0"/>
      </w:tblPr>
      <w:tblGrid>
        <w:gridCol w:w="3120"/>
        <w:gridCol w:w="3120"/>
        <w:gridCol w:w="3120"/>
      </w:tblGrid>
      <w:tr>
        <w:tc>
          <w:tcPr>
            <w:tcW w:type="dxa" w:w="3120"/>
            <w:shd w:fill="2B6CB0"/>
            <w:tcMar>
              <w:top w:w="80" w:type="dxa"/>
              <w:bottom w:w="80" w:type="dxa"/>
              <w:left w:w="100" w:type="dxa"/>
              <w:right w:w="100" w:type="dxa"/>
            </w:tcMar>
          </w:tcPr>
          <w:p>
            <w:r>
              <w:rPr>
                <w:rFonts w:ascii="Segoe UI" w:hAnsi="Segoe UI"/>
                <w:b/>
                <w:color w:val="FFFFFF"/>
                <w:sz w:val="18"/>
              </w:rPr>
              <w:t>Table Name</w:t>
            </w:r>
          </w:p>
        </w:tc>
        <w:tc>
          <w:tcPr>
            <w:tcW w:type="dxa" w:w="3120"/>
            <w:shd w:fill="2B6CB0"/>
            <w:tcMar>
              <w:top w:w="80" w:type="dxa"/>
              <w:bottom w:w="80" w:type="dxa"/>
              <w:left w:w="100" w:type="dxa"/>
              <w:right w:w="100" w:type="dxa"/>
            </w:tcMar>
          </w:tcPr>
          <w:p>
            <w:r>
              <w:rPr>
                <w:rFonts w:ascii="Segoe UI" w:hAnsi="Segoe UI"/>
                <w:b/>
                <w:color w:val="FFFFFF"/>
                <w:sz w:val="18"/>
              </w:rPr>
              <w:t>Primary Keys / Core Fields</w:t>
            </w:r>
          </w:p>
        </w:tc>
        <w:tc>
          <w:tcPr>
            <w:tcW w:type="dxa" w:w="3120"/>
            <w:shd w:fill="2B6CB0"/>
            <w:tcMar>
              <w:top w:w="80" w:type="dxa"/>
              <w:bottom w:w="80" w:type="dxa"/>
              <w:left w:w="100" w:type="dxa"/>
              <w:right w:w="100" w:type="dxa"/>
            </w:tcMar>
          </w:tcPr>
          <w:p>
            <w:r>
              <w:rPr>
                <w:rFonts w:ascii="Segoe UI" w:hAnsi="Segoe UI"/>
                <w:b/>
                <w:color w:val="FFFFFF"/>
                <w:sz w:val="18"/>
              </w:rPr>
              <w:t>Technical Role &amp; Stored Data</w:t>
            </w:r>
          </w:p>
        </w:tc>
      </w:tr>
      <w:tr>
        <w:tc>
          <w:tcPr>
            <w:tcW w:type="dxa" w:w="3120"/>
            <w:shd w:fill="F7FAFC"/>
            <w:tcMar>
              <w:top w:w="60" w:type="dxa"/>
              <w:bottom w:w="60" w:type="dxa"/>
              <w:left w:w="80" w:type="dxa"/>
              <w:right w:w="80" w:type="dxa"/>
            </w:tcMar>
          </w:tcPr>
          <w:p>
            <w:r>
              <w:rPr>
                <w:rFonts w:ascii="Segoe UI" w:hAnsi="Segoe UI"/>
                <w:b/>
                <w:sz w:val="17"/>
              </w:rPr>
              <w:t>agents</w:t>
            </w:r>
          </w:p>
        </w:tc>
        <w:tc>
          <w:tcPr>
            <w:tcW w:type="dxa" w:w="3120"/>
            <w:shd w:fill="F7FAFC"/>
            <w:tcMar>
              <w:top w:w="60" w:type="dxa"/>
              <w:bottom w:w="60" w:type="dxa"/>
              <w:left w:w="80" w:type="dxa"/>
              <w:right w:w="80" w:type="dxa"/>
            </w:tcMar>
          </w:tcPr>
          <w:p>
            <w:r>
              <w:rPr>
                <w:rFonts w:ascii="Segoe UI" w:hAnsi="Segoe UI"/>
                <w:sz w:val="17"/>
              </w:rPr>
              <w:t>agent_id (PK), x, y, status, battery, health, connectivity, reliability</w:t>
            </w:r>
          </w:p>
        </w:tc>
        <w:tc>
          <w:tcPr>
            <w:tcW w:type="dxa" w:w="3120"/>
            <w:shd w:fill="F7FAFC"/>
            <w:tcMar>
              <w:top w:w="60" w:type="dxa"/>
              <w:bottom w:w="60" w:type="dxa"/>
              <w:left w:w="80" w:type="dxa"/>
              <w:right w:w="80" w:type="dxa"/>
            </w:tcMar>
          </w:tcPr>
          <w:p>
            <w:r>
              <w:rPr>
                <w:rFonts w:ascii="Segoe UI" w:hAnsi="Segoe UI"/>
                <w:sz w:val="17"/>
              </w:rPr>
              <w:t>Maintains active node registry, 2D coordinates, power reserves, and health indices.</w:t>
            </w:r>
          </w:p>
        </w:tc>
      </w:tr>
      <w:tr>
        <w:tc>
          <w:tcPr>
            <w:tcW w:type="dxa" w:w="3120"/>
            <w:shd w:fill="EDF2F7"/>
            <w:tcMar>
              <w:top w:w="60" w:type="dxa"/>
              <w:bottom w:w="60" w:type="dxa"/>
              <w:left w:w="80" w:type="dxa"/>
              <w:right w:w="80" w:type="dxa"/>
            </w:tcMar>
          </w:tcPr>
          <w:p>
            <w:r>
              <w:rPr>
                <w:rFonts w:ascii="Segoe UI" w:hAnsi="Segoe UI"/>
                <w:b/>
                <w:sz w:val="17"/>
              </w:rPr>
              <w:t>agent_deployments</w:t>
            </w:r>
          </w:p>
        </w:tc>
        <w:tc>
          <w:tcPr>
            <w:tcW w:type="dxa" w:w="3120"/>
            <w:shd w:fill="EDF2F7"/>
            <w:tcMar>
              <w:top w:w="60" w:type="dxa"/>
              <w:bottom w:w="60" w:type="dxa"/>
              <w:left w:w="80" w:type="dxa"/>
              <w:right w:w="80" w:type="dxa"/>
            </w:tcMar>
          </w:tcPr>
          <w:p>
            <w:r>
              <w:rPr>
                <w:rFonts w:ascii="Segoe UI" w:hAnsi="Segoe UI"/>
                <w:sz w:val="17"/>
              </w:rPr>
              <w:t>agent_id (PK), latitude, longitude, area_label</w:t>
            </w:r>
          </w:p>
        </w:tc>
        <w:tc>
          <w:tcPr>
            <w:tcW w:type="dxa" w:w="3120"/>
            <w:shd w:fill="EDF2F7"/>
            <w:tcMar>
              <w:top w:w="60" w:type="dxa"/>
              <w:bottom w:w="60" w:type="dxa"/>
              <w:left w:w="80" w:type="dxa"/>
              <w:right w:w="80" w:type="dxa"/>
            </w:tcMar>
          </w:tcPr>
          <w:p>
            <w:r>
              <w:rPr>
                <w:rFonts w:ascii="Segoe UI" w:hAnsi="Segoe UI"/>
                <w:sz w:val="17"/>
              </w:rPr>
              <w:t>Stores real-world geographic GPS coordinates bound to simulation nodes.</w:t>
            </w:r>
          </w:p>
        </w:tc>
      </w:tr>
      <w:tr>
        <w:tc>
          <w:tcPr>
            <w:tcW w:type="dxa" w:w="3120"/>
            <w:shd w:fill="F7FAFC"/>
            <w:tcMar>
              <w:top w:w="60" w:type="dxa"/>
              <w:bottom w:w="60" w:type="dxa"/>
              <w:left w:w="80" w:type="dxa"/>
              <w:right w:w="80" w:type="dxa"/>
            </w:tcMar>
          </w:tcPr>
          <w:p>
            <w:r>
              <w:rPr>
                <w:rFonts w:ascii="Segoe UI" w:hAnsi="Segoe UI"/>
                <w:b/>
                <w:sz w:val="17"/>
              </w:rPr>
              <w:t>deployment_site</w:t>
            </w:r>
          </w:p>
        </w:tc>
        <w:tc>
          <w:tcPr>
            <w:tcW w:type="dxa" w:w="3120"/>
            <w:shd w:fill="F7FAFC"/>
            <w:tcMar>
              <w:top w:w="60" w:type="dxa"/>
              <w:bottom w:w="60" w:type="dxa"/>
              <w:left w:w="80" w:type="dxa"/>
              <w:right w:w="80" w:type="dxa"/>
            </w:tcMar>
          </w:tcPr>
          <w:p>
            <w:r>
              <w:rPr>
                <w:rFonts w:ascii="Segoe UI" w:hAnsi="Segoe UI"/>
                <w:sz w:val="17"/>
              </w:rPr>
              <w:t>id (PK), latitude, longitude, radius_km, area_label</w:t>
            </w:r>
          </w:p>
        </w:tc>
        <w:tc>
          <w:tcPr>
            <w:tcW w:type="dxa" w:w="3120"/>
            <w:shd w:fill="F7FAFC"/>
            <w:tcMar>
              <w:top w:w="60" w:type="dxa"/>
              <w:bottom w:w="60" w:type="dxa"/>
              <w:left w:w="80" w:type="dxa"/>
              <w:right w:w="80" w:type="dxa"/>
            </w:tcMar>
          </w:tcPr>
          <w:p>
            <w:r>
              <w:rPr>
                <w:rFonts w:ascii="Segoe UI" w:hAnsi="Segoe UI"/>
                <w:sz w:val="17"/>
              </w:rPr>
              <w:t>Stores geographic epicenter coordinates and circular deployment radius (0.5–10km).</w:t>
            </w:r>
          </w:p>
        </w:tc>
      </w:tr>
      <w:tr>
        <w:tc>
          <w:tcPr>
            <w:tcW w:type="dxa" w:w="3120"/>
            <w:shd w:fill="EDF2F7"/>
            <w:tcMar>
              <w:top w:w="60" w:type="dxa"/>
              <w:bottom w:w="60" w:type="dxa"/>
              <w:left w:w="80" w:type="dxa"/>
              <w:right w:w="80" w:type="dxa"/>
            </w:tcMar>
          </w:tcPr>
          <w:p>
            <w:r>
              <w:rPr>
                <w:rFonts w:ascii="Segoe UI" w:hAnsi="Segoe UI"/>
                <w:b/>
                <w:sz w:val="17"/>
              </w:rPr>
              <w:t>environmental_readings</w:t>
            </w:r>
          </w:p>
        </w:tc>
        <w:tc>
          <w:tcPr>
            <w:tcW w:type="dxa" w:w="3120"/>
            <w:shd w:fill="EDF2F7"/>
            <w:tcMar>
              <w:top w:w="60" w:type="dxa"/>
              <w:bottom w:w="60" w:type="dxa"/>
              <w:left w:w="80" w:type="dxa"/>
              <w:right w:w="80" w:type="dxa"/>
            </w:tcMar>
          </w:tcPr>
          <w:p>
            <w:r>
              <w:rPr>
                <w:rFonts w:ascii="Segoe UI" w:hAnsi="Segoe UI"/>
                <w:sz w:val="17"/>
              </w:rPr>
              <w:t>id (PK), agent_id, temp, hum, smoke, co2, aqi, soil, ai_status, score, timestamp</w:t>
            </w:r>
          </w:p>
        </w:tc>
        <w:tc>
          <w:tcPr>
            <w:tcW w:type="dxa" w:w="3120"/>
            <w:shd w:fill="EDF2F7"/>
            <w:tcMar>
              <w:top w:w="60" w:type="dxa"/>
              <w:bottom w:w="60" w:type="dxa"/>
              <w:left w:w="80" w:type="dxa"/>
              <w:right w:w="80" w:type="dxa"/>
            </w:tcMar>
          </w:tcPr>
          <w:p>
            <w:r>
              <w:rPr>
                <w:rFonts w:ascii="Segoe UI" w:hAnsi="Segoe UI"/>
                <w:sz w:val="17"/>
              </w:rPr>
              <w:t>Time-series telemetry archive logging 6-sensor vectors and ML anomaly scores.</w:t>
            </w:r>
          </w:p>
        </w:tc>
      </w:tr>
      <w:tr>
        <w:tc>
          <w:tcPr>
            <w:tcW w:type="dxa" w:w="3120"/>
            <w:shd w:fill="F7FAFC"/>
            <w:tcMar>
              <w:top w:w="60" w:type="dxa"/>
              <w:bottom w:w="60" w:type="dxa"/>
              <w:left w:w="80" w:type="dxa"/>
              <w:right w:w="80" w:type="dxa"/>
            </w:tcMar>
          </w:tcPr>
          <w:p>
            <w:r>
              <w:rPr>
                <w:rFonts w:ascii="Segoe UI" w:hAnsi="Segoe UI"/>
                <w:b/>
                <w:sz w:val="17"/>
              </w:rPr>
              <w:t>environmental_events</w:t>
            </w:r>
          </w:p>
        </w:tc>
        <w:tc>
          <w:tcPr>
            <w:tcW w:type="dxa" w:w="3120"/>
            <w:shd w:fill="F7FAFC"/>
            <w:tcMar>
              <w:top w:w="60" w:type="dxa"/>
              <w:bottom w:w="60" w:type="dxa"/>
              <w:left w:w="80" w:type="dxa"/>
              <w:right w:w="80" w:type="dxa"/>
            </w:tcMar>
          </w:tcPr>
          <w:p>
            <w:r>
              <w:rPr>
                <w:rFonts w:ascii="Segoe UI" w:hAnsi="Segoe UI"/>
                <w:sz w:val="17"/>
              </w:rPr>
              <w:t>event_id (PK), event_type, center_x, center_y, severity, consensus_state, confidence</w:t>
            </w:r>
          </w:p>
        </w:tc>
        <w:tc>
          <w:tcPr>
            <w:tcW w:type="dxa" w:w="3120"/>
            <w:shd w:fill="F7FAFC"/>
            <w:tcMar>
              <w:top w:w="60" w:type="dxa"/>
              <w:bottom w:w="60" w:type="dxa"/>
              <w:left w:w="80" w:type="dxa"/>
              <w:right w:w="80" w:type="dxa"/>
            </w:tcMar>
          </w:tcPr>
          <w:p>
            <w:r>
              <w:rPr>
                <w:rFonts w:ascii="Segoe UI" w:hAnsi="Segoe UI"/>
                <w:sz w:val="17"/>
              </w:rPr>
              <w:t>Hazard event ledger tracking active/resolved status, epicenters, and confidence scores.</w:t>
            </w:r>
          </w:p>
        </w:tc>
      </w:tr>
      <w:tr>
        <w:tc>
          <w:tcPr>
            <w:tcW w:type="dxa" w:w="3120"/>
            <w:shd w:fill="EDF2F7"/>
            <w:tcMar>
              <w:top w:w="60" w:type="dxa"/>
              <w:bottom w:w="60" w:type="dxa"/>
              <w:left w:w="80" w:type="dxa"/>
              <w:right w:w="80" w:type="dxa"/>
            </w:tcMar>
          </w:tcPr>
          <w:p>
            <w:r>
              <w:rPr>
                <w:rFonts w:ascii="Segoe UI" w:hAnsi="Segoe UI"/>
                <w:b/>
                <w:sz w:val="17"/>
              </w:rPr>
              <w:t>consensus_records</w:t>
            </w:r>
          </w:p>
        </w:tc>
        <w:tc>
          <w:tcPr>
            <w:tcW w:type="dxa" w:w="3120"/>
            <w:shd w:fill="EDF2F7"/>
            <w:tcMar>
              <w:top w:w="60" w:type="dxa"/>
              <w:bottom w:w="60" w:type="dxa"/>
              <w:left w:w="80" w:type="dxa"/>
              <w:right w:w="80" w:type="dxa"/>
            </w:tcMar>
          </w:tcPr>
          <w:p>
            <w:r>
              <w:rPr>
                <w:rFonts w:ascii="Segoe UI" w:hAnsi="Segoe UI"/>
                <w:sz w:val="17"/>
              </w:rPr>
              <w:t>id (PK), event_id, event_type, consensus_reached, confidence, total_voters, evidence_summary</w:t>
            </w:r>
          </w:p>
        </w:tc>
        <w:tc>
          <w:tcPr>
            <w:tcW w:type="dxa" w:w="3120"/>
            <w:shd w:fill="EDF2F7"/>
            <w:tcMar>
              <w:top w:w="60" w:type="dxa"/>
              <w:bottom w:w="60" w:type="dxa"/>
              <w:left w:w="80" w:type="dxa"/>
              <w:right w:w="80" w:type="dxa"/>
            </w:tcMar>
          </w:tcPr>
          <w:p>
            <w:r>
              <w:rPr>
                <w:rFonts w:ascii="Segoe UI" w:hAnsi="Segoe UI"/>
                <w:sz w:val="17"/>
              </w:rPr>
              <w:t>Detailed evidentiary audit log recording agreeing voter tallies and neighbor signatures.</w:t>
            </w:r>
          </w:p>
        </w:tc>
      </w:tr>
      <w:tr>
        <w:tc>
          <w:tcPr>
            <w:tcW w:type="dxa" w:w="3120"/>
            <w:shd w:fill="F7FAFC"/>
            <w:tcMar>
              <w:top w:w="60" w:type="dxa"/>
              <w:bottom w:w="60" w:type="dxa"/>
              <w:left w:w="80" w:type="dxa"/>
              <w:right w:w="80" w:type="dxa"/>
            </w:tcMar>
          </w:tcPr>
          <w:p>
            <w:r>
              <w:rPr>
                <w:rFonts w:ascii="Segoe UI" w:hAnsi="Segoe UI"/>
                <w:b/>
                <w:sz w:val="17"/>
              </w:rPr>
              <w:t>network_reorganizations</w:t>
            </w:r>
          </w:p>
        </w:tc>
        <w:tc>
          <w:tcPr>
            <w:tcW w:type="dxa" w:w="3120"/>
            <w:shd w:fill="F7FAFC"/>
            <w:tcMar>
              <w:top w:w="60" w:type="dxa"/>
              <w:bottom w:w="60" w:type="dxa"/>
              <w:left w:w="80" w:type="dxa"/>
              <w:right w:w="80" w:type="dxa"/>
            </w:tcMar>
          </w:tcPr>
          <w:p>
            <w:r>
              <w:rPr>
                <w:rFonts w:ascii="Segoe UI" w:hAnsi="Segoe UI"/>
                <w:sz w:val="17"/>
              </w:rPr>
              <w:t>id (PK), failed_agent_id, connections_removed, connections_created, recovery_time_ms</w:t>
            </w:r>
          </w:p>
        </w:tc>
        <w:tc>
          <w:tcPr>
            <w:tcW w:type="dxa" w:w="3120"/>
            <w:shd w:fill="F7FAFC"/>
            <w:tcMar>
              <w:top w:w="60" w:type="dxa"/>
              <w:bottom w:w="60" w:type="dxa"/>
              <w:left w:w="80" w:type="dxa"/>
              <w:right w:w="80" w:type="dxa"/>
            </w:tcMar>
          </w:tcPr>
          <w:p>
            <w:r>
              <w:rPr>
                <w:rFonts w:ascii="Segoe UI" w:hAnsi="Segoe UI"/>
                <w:sz w:val="17"/>
              </w:rPr>
              <w:t>Topology recovery log tracking severed links, created replacement edges, and duration in ms.</w:t>
            </w:r>
          </w:p>
        </w:tc>
      </w:tr>
    </w:tbl>
    <w:p>
      <w:pPr>
        <w:spacing w:after="240"/>
      </w:pPr>
    </w:p>
    <w:p>
      <w:pPr>
        <w:pStyle w:val="Heading1"/>
      </w:pPr>
      <w:r>
        <w:rPr>
          <w:rFonts w:ascii="Segoe UI" w:hAnsi="Segoe UI"/>
          <w:color w:val="0A2540"/>
          <w:sz w:val="30"/>
        </w:rPr>
        <w:t>7. Real-World Use Cases &amp; Practical Applications</w:t>
      </w:r>
    </w:p>
    <w:p>
      <w:r>
        <w:t>The decentralized multi-agent architecture provides immediate operational value across diverse environmental and industrial applications:</w:t>
      </w:r>
    </w:p>
    <w:p>
      <w:pPr>
        <w:spacing w:after="160"/>
      </w:pPr>
      <w:r>
        <w:rPr>
          <w:rFonts w:ascii="Segoe UI" w:hAnsi="Segoe UI"/>
          <w:b/>
          <w:color w:val="2B6CB0"/>
          <w:sz w:val="20"/>
        </w:rPr>
        <w:t>1. Wildfire Detection in High-Risk National Forests</w:t>
        <w:br/>
      </w:r>
      <w:r>
        <w:rPr>
          <w:rFonts w:ascii="Segoe UI" w:hAnsi="Segoe UI"/>
          <w:color w:val="2D3748"/>
          <w:sz w:val="18"/>
        </w:rPr>
        <w:t>In dense forest reserves, satellite optical imagery is obscured by heavy cloud cover and passes only every several hours. A mesh of autonomous Canopy Thermal Drones and Atmospheric Sentries detects early smoldering combustion beneath dense tree canopies. Localized neighbor consensus prevents false alarms from tourist campfires, while self-healing ensures that when intense fires burn edge nodes, the surviving perimeter nodes dynamically reconnect to maintain real-time firebreak tracking.</w:t>
      </w:r>
    </w:p>
    <w:p>
      <w:pPr>
        <w:spacing w:after="160"/>
      </w:pPr>
      <w:r>
        <w:rPr>
          <w:rFonts w:ascii="Segoe UI" w:hAnsi="Segoe UI"/>
          <w:b/>
          <w:color w:val="2B6CB0"/>
          <w:sz w:val="20"/>
        </w:rPr>
        <w:t>2. Petrochemical Refinery &amp; Pipeline Breach Monitoring</w:t>
        <w:br/>
      </w:r>
      <w:r>
        <w:rPr>
          <w:rFonts w:ascii="Segoe UI" w:hAnsi="Segoe UI"/>
          <w:color w:val="2D3748"/>
          <w:sz w:val="18"/>
        </w:rPr>
        <w:t>Refineries, gas cracking units, and pipeline transfer stations require continuous tracking of fugitive volatile emissions. Laying physical communication cables across expansive hazardous zones is prohibitively costly. An autonomous mesh of Atmospheric Sentries profiles CO2 and particulate dispersion, detecting leaks instantaneously without centralized telemetry infrastructure.</w:t>
      </w:r>
    </w:p>
    <w:p>
      <w:pPr>
        <w:spacing w:after="160"/>
      </w:pPr>
      <w:r>
        <w:rPr>
          <w:rFonts w:ascii="Segoe UI" w:hAnsi="Segoe UI"/>
          <w:b/>
          <w:color w:val="2B6CB0"/>
          <w:sz w:val="20"/>
        </w:rPr>
        <w:t>3. Urban Heat Island &amp; Public Health Interventions</w:t>
        <w:br/>
      </w:r>
      <w:r>
        <w:rPr>
          <w:rFonts w:ascii="Segoe UI" w:hAnsi="Segoe UI"/>
          <w:color w:val="2D3748"/>
          <w:sz w:val="18"/>
        </w:rPr>
        <w:t>Dense urban centers experience localized microclimate heat traps where temperatures exceed surrounding suburbs by 5–8°C. Autonomous sentries deployed along street canyons monitor ambient temperature and air quality. When thermal stress reaches dangerous levels (≥42°C), consensus triggers municipal emergency alerts to open targeted public cooling centers and divert heavy traffic.</w:t>
      </w:r>
    </w:p>
    <w:p>
      <w:pPr>
        <w:spacing w:after="160"/>
      </w:pPr>
      <w:r>
        <w:rPr>
          <w:rFonts w:ascii="Segoe UI" w:hAnsi="Segoe UI"/>
          <w:b/>
          <w:color w:val="2B6CB0"/>
          <w:sz w:val="20"/>
        </w:rPr>
        <w:t>4. Riparian Ecosystem &amp; Watershed Conservation</w:t>
        <w:br/>
      </w:r>
      <w:r>
        <w:rPr>
          <w:rFonts w:ascii="Segoe UI" w:hAnsi="Segoe UI"/>
          <w:color w:val="2D3748"/>
          <w:sz w:val="18"/>
        </w:rPr>
        <w:t>Agricultural runoff and industrial effluent can cause rapid acidification and oxygen depletion in vital river basins. Riparian Hydrology Sensors and Sub-Canopy Soil Probes monitor watershed moisture and thermal baselines, providing early warnings for flash droughts and aquatic ecosystem collapse.</w:t>
      </w:r>
    </w:p>
    <w:p>
      <w:pPr>
        <w:spacing w:after="160"/>
      </w:pPr>
      <w:r>
        <w:rPr>
          <w:rFonts w:ascii="Segoe UI" w:hAnsi="Segoe UI"/>
          <w:b/>
          <w:color w:val="2B6CB0"/>
          <w:sz w:val="20"/>
        </w:rPr>
        <w:t>5. Post-Disaster Ad-Hoc Emergency Mesh Operations</w:t>
        <w:br/>
      </w:r>
      <w:r>
        <w:rPr>
          <w:rFonts w:ascii="Segoe UI" w:hAnsi="Segoe UI"/>
          <w:color w:val="2D3748"/>
          <w:sz w:val="18"/>
        </w:rPr>
        <w:t>Following severe hurricanes or earthquakes, terrestrial cellular base stations and fiber cables are frequently flattened. Autonomous edge nodes dropped into disaster areas self-organize replacement communication links, establishing a resilient emergency hazard detection mesh for first responders.</w:t>
      </w:r>
    </w:p>
    <w:p>
      <w:pPr>
        <w:pStyle w:val="Heading1"/>
      </w:pPr>
      <w:r>
        <w:rPr>
          <w:rFonts w:ascii="Segoe UI" w:hAnsi="Segoe UI"/>
          <w:color w:val="0A2540"/>
          <w:sz w:val="30"/>
        </w:rPr>
        <w:t>8. Empirical Benchmarks &amp; Test Verification</w:t>
      </w:r>
    </w:p>
    <w:p>
      <w:r>
        <w:t>The platform has been rigorously validated through automated unit, integration, and end-to-end API test suites. All 11 automated test suites in `tests/` pass with 100% verification, validating the following empirical benchmarks:</w:t>
      </w:r>
    </w:p>
    <w:tbl>
      <w:tblPr>
        <w:tblW w:type="auto" w:w="0"/>
        <w:jc w:val="center"/>
        <w:tblLook w:firstColumn="1" w:firstRow="1" w:lastColumn="0" w:lastRow="0" w:noHBand="0" w:noVBand="1" w:val="04A0"/>
      </w:tblPr>
      <w:tblGrid>
        <w:gridCol w:w="3120"/>
        <w:gridCol w:w="3120"/>
        <w:gridCol w:w="3120"/>
      </w:tblGrid>
      <w:tr>
        <w:tc>
          <w:tcPr>
            <w:tcW w:type="dxa" w:w="3120"/>
            <w:shd w:fill="2B6CB0"/>
            <w:tcMar>
              <w:top w:w="80" w:type="dxa"/>
              <w:bottom w:w="80" w:type="dxa"/>
              <w:left w:w="100" w:type="dxa"/>
              <w:right w:w="100" w:type="dxa"/>
            </w:tcMar>
          </w:tcPr>
          <w:p>
            <w:r>
              <w:rPr>
                <w:rFonts w:ascii="Segoe UI" w:hAnsi="Segoe UI"/>
                <w:b/>
                <w:color w:val="FFFFFF"/>
                <w:sz w:val="18"/>
              </w:rPr>
              <w:t>Benchmark Metric</w:t>
            </w:r>
          </w:p>
        </w:tc>
        <w:tc>
          <w:tcPr>
            <w:tcW w:type="dxa" w:w="3120"/>
            <w:shd w:fill="2B6CB0"/>
            <w:tcMar>
              <w:top w:w="80" w:type="dxa"/>
              <w:bottom w:w="80" w:type="dxa"/>
              <w:left w:w="100" w:type="dxa"/>
              <w:right w:w="100" w:type="dxa"/>
            </w:tcMar>
          </w:tcPr>
          <w:p>
            <w:r>
              <w:rPr>
                <w:rFonts w:ascii="Segoe UI" w:hAnsi="Segoe UI"/>
                <w:b/>
                <w:color w:val="FFFFFF"/>
                <w:sz w:val="18"/>
              </w:rPr>
              <w:t>Measured Value</w:t>
            </w:r>
          </w:p>
        </w:tc>
        <w:tc>
          <w:tcPr>
            <w:tcW w:type="dxa" w:w="3120"/>
            <w:shd w:fill="2B6CB0"/>
            <w:tcMar>
              <w:top w:w="80" w:type="dxa"/>
              <w:bottom w:w="80" w:type="dxa"/>
              <w:left w:w="100" w:type="dxa"/>
              <w:right w:w="100" w:type="dxa"/>
            </w:tcMar>
          </w:tcPr>
          <w:p>
            <w:r>
              <w:rPr>
                <w:rFonts w:ascii="Segoe UI" w:hAnsi="Segoe UI"/>
                <w:b/>
                <w:color w:val="FFFFFF"/>
                <w:sz w:val="18"/>
              </w:rPr>
              <w:t>Target Requirement &amp; Evaluation Result</w:t>
            </w:r>
          </w:p>
        </w:tc>
      </w:tr>
      <w:tr>
        <w:tc>
          <w:tcPr>
            <w:tcW w:type="dxa" w:w="3120"/>
            <w:shd w:fill="F7FAFC"/>
            <w:tcMar>
              <w:top w:w="60" w:type="dxa"/>
              <w:bottom w:w="60" w:type="dxa"/>
              <w:left w:w="80" w:type="dxa"/>
              <w:right w:w="80" w:type="dxa"/>
            </w:tcMar>
          </w:tcPr>
          <w:p>
            <w:r>
              <w:rPr>
                <w:rFonts w:ascii="Segoe UI" w:hAnsi="Segoe UI"/>
                <w:b/>
                <w:sz w:val="17"/>
              </w:rPr>
              <w:t>Edge ML Inference Latency</w:t>
            </w:r>
          </w:p>
        </w:tc>
        <w:tc>
          <w:tcPr>
            <w:tcW w:type="dxa" w:w="3120"/>
            <w:shd w:fill="F7FAFC"/>
            <w:tcMar>
              <w:top w:w="60" w:type="dxa"/>
              <w:bottom w:w="60" w:type="dxa"/>
              <w:left w:w="80" w:type="dxa"/>
              <w:right w:w="80" w:type="dxa"/>
            </w:tcMar>
          </w:tcPr>
          <w:p>
            <w:r>
              <w:rPr>
                <w:rFonts w:ascii="Segoe UI" w:hAnsi="Segoe UI"/>
                <w:sz w:val="17"/>
              </w:rPr>
              <w:t>1.2 – 1.5 ms</w:t>
            </w:r>
          </w:p>
        </w:tc>
        <w:tc>
          <w:tcPr>
            <w:tcW w:type="dxa" w:w="3120"/>
            <w:shd w:fill="F7FAFC"/>
            <w:tcMar>
              <w:top w:w="60" w:type="dxa"/>
              <w:bottom w:w="60" w:type="dxa"/>
              <w:left w:w="80" w:type="dxa"/>
              <w:right w:w="80" w:type="dxa"/>
            </w:tcMar>
          </w:tcPr>
          <w:p>
            <w:r>
              <w:rPr>
                <w:rFonts w:ascii="Segoe UI" w:hAnsi="Segoe UI"/>
                <w:sz w:val="17"/>
              </w:rPr>
              <w:t>Requirement: &lt; 5 ms. PASSED. Enables real-time on-node hazard scoring.</w:t>
            </w:r>
          </w:p>
        </w:tc>
      </w:tr>
      <w:tr>
        <w:tc>
          <w:tcPr>
            <w:tcW w:type="dxa" w:w="3120"/>
            <w:shd w:fill="EDF2F7"/>
            <w:tcMar>
              <w:top w:w="60" w:type="dxa"/>
              <w:bottom w:w="60" w:type="dxa"/>
              <w:left w:w="80" w:type="dxa"/>
              <w:right w:w="80" w:type="dxa"/>
            </w:tcMar>
          </w:tcPr>
          <w:p>
            <w:r>
              <w:rPr>
                <w:rFonts w:ascii="Segoe UI" w:hAnsi="Segoe UI"/>
                <w:b/>
                <w:sz w:val="17"/>
              </w:rPr>
              <w:t>Graph Topology Healing Duration</w:t>
            </w:r>
          </w:p>
        </w:tc>
        <w:tc>
          <w:tcPr>
            <w:tcW w:type="dxa" w:w="3120"/>
            <w:shd w:fill="EDF2F7"/>
            <w:tcMar>
              <w:top w:w="60" w:type="dxa"/>
              <w:bottom w:w="60" w:type="dxa"/>
              <w:left w:w="80" w:type="dxa"/>
              <w:right w:w="80" w:type="dxa"/>
            </w:tcMar>
          </w:tcPr>
          <w:p>
            <w:r>
              <w:rPr>
                <w:rFonts w:ascii="Segoe UI" w:hAnsi="Segoe UI"/>
                <w:sz w:val="17"/>
              </w:rPr>
              <w:t>12 – 18 ms</w:t>
            </w:r>
          </w:p>
        </w:tc>
        <w:tc>
          <w:tcPr>
            <w:tcW w:type="dxa" w:w="3120"/>
            <w:shd w:fill="EDF2F7"/>
            <w:tcMar>
              <w:top w:w="60" w:type="dxa"/>
              <w:bottom w:w="60" w:type="dxa"/>
              <w:left w:w="80" w:type="dxa"/>
              <w:right w:w="80" w:type="dxa"/>
            </w:tcMar>
          </w:tcPr>
          <w:p>
            <w:r>
              <w:rPr>
                <w:rFonts w:ascii="Segoe UI" w:hAnsi="Segoe UI"/>
                <w:sz w:val="17"/>
              </w:rPr>
              <w:t>Requirement: &lt; 50 ms. PASSED. Discovers orphan links and restores biconnectivity instantly.</w:t>
            </w:r>
          </w:p>
        </w:tc>
      </w:tr>
      <w:tr>
        <w:tc>
          <w:tcPr>
            <w:tcW w:type="dxa" w:w="3120"/>
            <w:shd w:fill="F7FAFC"/>
            <w:tcMar>
              <w:top w:w="60" w:type="dxa"/>
              <w:bottom w:w="60" w:type="dxa"/>
              <w:left w:w="80" w:type="dxa"/>
              <w:right w:w="80" w:type="dxa"/>
            </w:tcMar>
          </w:tcPr>
          <w:p>
            <w:r>
              <w:rPr>
                <w:rFonts w:ascii="Segoe UI" w:hAnsi="Segoe UI"/>
                <w:b/>
                <w:sz w:val="17"/>
              </w:rPr>
              <w:t>P2P Quorum Consensus Accuracy</w:t>
            </w:r>
          </w:p>
        </w:tc>
        <w:tc>
          <w:tcPr>
            <w:tcW w:type="dxa" w:w="3120"/>
            <w:shd w:fill="F7FAFC"/>
            <w:tcMar>
              <w:top w:w="60" w:type="dxa"/>
              <w:bottom w:w="60" w:type="dxa"/>
              <w:left w:w="80" w:type="dxa"/>
              <w:right w:w="80" w:type="dxa"/>
            </w:tcMar>
          </w:tcPr>
          <w:p>
            <w:r>
              <w:rPr>
                <w:rFonts w:ascii="Segoe UI" w:hAnsi="Segoe UI"/>
                <w:sz w:val="17"/>
              </w:rPr>
              <w:t>88% – 100% on active hazards</w:t>
            </w:r>
          </w:p>
        </w:tc>
        <w:tc>
          <w:tcPr>
            <w:tcW w:type="dxa" w:w="3120"/>
            <w:shd w:fill="F7FAFC"/>
            <w:tcMar>
              <w:top w:w="60" w:type="dxa"/>
              <w:bottom w:w="60" w:type="dxa"/>
              <w:left w:w="80" w:type="dxa"/>
              <w:right w:w="80" w:type="dxa"/>
            </w:tcMar>
          </w:tcPr>
          <w:p>
            <w:r>
              <w:rPr>
                <w:rFonts w:ascii="Segoe UI" w:hAnsi="Segoe UI"/>
                <w:sz w:val="17"/>
              </w:rPr>
              <w:t>Requirement: &gt; 80% on multi-agent hazard zones. Solitary glitches rejected at 0.20 confidence. PASSED.</w:t>
            </w:r>
          </w:p>
        </w:tc>
      </w:tr>
      <w:tr>
        <w:tc>
          <w:tcPr>
            <w:tcW w:type="dxa" w:w="3120"/>
            <w:shd w:fill="EDF2F7"/>
            <w:tcMar>
              <w:top w:w="60" w:type="dxa"/>
              <w:bottom w:w="60" w:type="dxa"/>
              <w:left w:w="80" w:type="dxa"/>
              <w:right w:w="80" w:type="dxa"/>
            </w:tcMar>
          </w:tcPr>
          <w:p>
            <w:r>
              <w:rPr>
                <w:rFonts w:ascii="Segoe UI" w:hAnsi="Segoe UI"/>
                <w:b/>
                <w:sz w:val="17"/>
              </w:rPr>
              <w:t>Model Memory Footprint</w:t>
            </w:r>
          </w:p>
        </w:tc>
        <w:tc>
          <w:tcPr>
            <w:tcW w:type="dxa" w:w="3120"/>
            <w:shd w:fill="EDF2F7"/>
            <w:tcMar>
              <w:top w:w="60" w:type="dxa"/>
              <w:bottom w:w="60" w:type="dxa"/>
              <w:left w:w="80" w:type="dxa"/>
              <w:right w:w="80" w:type="dxa"/>
            </w:tcMar>
          </w:tcPr>
          <w:p>
            <w:r>
              <w:rPr>
                <w:rFonts w:ascii="Segoe UI" w:hAnsi="Segoe UI"/>
                <w:sz w:val="17"/>
              </w:rPr>
              <w:t>2.23 Megabytes</w:t>
            </w:r>
          </w:p>
        </w:tc>
        <w:tc>
          <w:tcPr>
            <w:tcW w:type="dxa" w:w="3120"/>
            <w:shd w:fill="EDF2F7"/>
            <w:tcMar>
              <w:top w:w="60" w:type="dxa"/>
              <w:bottom w:w="60" w:type="dxa"/>
              <w:left w:w="80" w:type="dxa"/>
              <w:right w:w="80" w:type="dxa"/>
            </w:tcMar>
          </w:tcPr>
          <w:p>
            <w:r>
              <w:rPr>
                <w:rFonts w:ascii="Segoe UI" w:hAnsi="Segoe UI"/>
                <w:sz w:val="17"/>
              </w:rPr>
              <w:t>Requirement: &lt; 10 MB for edge IoT deployment. PASSED. Loads in CPU RAM effortlessly.</w:t>
            </w:r>
          </w:p>
        </w:tc>
      </w:tr>
    </w:tbl>
    <w:p>
      <w:pPr>
        <w:spacing w:after="280"/>
      </w:pPr>
    </w:p>
    <w:p>
      <w:pPr>
        <w:pStyle w:val="Heading1"/>
      </w:pPr>
      <w:r>
        <w:rPr>
          <w:rFonts w:ascii="Segoe UI" w:hAnsi="Segoe UI"/>
          <w:color w:val="0A2540"/>
          <w:sz w:val="30"/>
        </w:rPr>
        <w:t>9. Implemented Scope vs Future Research Roadmap</w:t>
      </w:r>
    </w:p>
    <w:p>
      <w:r>
        <w:t>To maintain strict academic integrity during faculty evaluation, the project establishes a transparent demarcation between currently implemented software functionality and planned future research:</w:t>
      </w:r>
    </w:p>
    <w:p>
      <w:r>
        <w:rPr>
          <w:b/>
        </w:rPr>
        <w:t>Implemented System Capabilities:</w:t>
        <w:br/>
      </w:r>
      <w:r>
        <w:t>• 20 autonomous edge agents running on a 20x20 spatial coordinate system with real GPS coordinate persistence.</w:t>
        <w:br/>
        <w:t>• Unsupervised scikit-learn Isolation Forest model evaluating 6 telemetry streams in real time.</w:t>
        <w:br/>
        <w:t>• 4-class multi-hazard contextual classifier (FIRE, POLLUTION, EXTREME HEAT, OTHER).</w:t>
        <w:br/>
        <w:t>• Asynchronous peer-to-peer alert propagation and localized neighborhood consensus quorum (θ ≥ 0.50).</w:t>
        <w:br/>
        <w:t>• Dynamic NetworkX graph self-healing protocol with Manhattan proximity reconnection (d ≤ 4).</w:t>
        <w:br/>
        <w:t>• Asynchronous FastAPI ASGI backend with 22 REST API endpoints and real-time WebSockets.</w:t>
        <w:br/>
        <w:t>• Production-grade Next.js 14 mission control dashboard across six operational sections.</w:t>
        <w:br/>
        <w:t>• Relational SQLAlchemy persistence layer across 7 normalized database schemas.</w:t>
      </w:r>
    </w:p>
    <w:p>
      <w:r>
        <w:rPr>
          <w:b/>
        </w:rPr>
        <w:t>Future Research Advancements:</w:t>
        <w:br/>
      </w:r>
      <w:r>
        <w:t>1. Physical IoT Hardware Deployment: Porting the agent runtime to low-power ESP32 microcontrollers communicating via long-range 868/915 MHz LoRaWAN transceivers, enabling physical outdoor field validation.</w:t>
        <w:br/>
        <w:t>2. Deep Reinforcement Learning (DRL) Swarm Flight: Integrating Proximal Policy Optimization (PPO) to allow autonomous thermal drones to dynamically optimize patrol flight paths and encircle expanding hazard perimeters.</w:t>
        <w:br/>
        <w:t>3. Cryptographic Byzantine Fault Tolerant (BFT) Ledger: Embedding lightweight blockchain consensus to guarantee tamper-proof regulatory compliance for industrial emissions monitoring.</w:t>
        <w:br/>
        <w:t>4. Satellite Remote Sensing Data Fusion: Integrating optical Sentinel-2 and thermal NASA FIRMS satellite telemetry feeds to cross-verify hyper-local edge detections with regional macro-scale satellite observations.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