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Beta Testing Legal Considerations</w:t>
      </w:r>
    </w:p>
    <w:p>
      <w:pPr>
        <w:jc w:val="center"/>
      </w:pPr>
      <w:r>
        <w:rPr>
          <w:i/>
          <w:sz w:val="24"/>
        </w:rPr>
        <w:t>Statistical Analysis Software — India Beta Deployment</w:t>
      </w:r>
    </w:p>
    <w:p/>
    <w:p>
      <w:pPr>
        <w:pStyle w:val="Heading1"/>
      </w:pPr>
      <w:r>
        <w:t>I. Difference Between Software and App</w:t>
      </w:r>
    </w:p>
    <w:p>
      <w:pPr>
        <w:spacing w:after="120"/>
      </w:pPr>
      <w:r>
        <w:rPr>
          <w:sz w:val="22"/>
        </w:rPr>
        <w:t>The term software, in a commercial licensing context, refers to a product that is installed and executed entirely on the licensee's own hardware or infrastructure. The vendor ships a binary, container image, or installable package, and the licensee owns and controls the runtime environment. Responsibility for execution, data security, and system compatibility rests primarily with the licensee once the product is delivered.</w:t>
      </w:r>
    </w:p>
    <w:p>
      <w:pPr>
        <w:spacing w:after="120"/>
      </w:pPr>
      <w:r>
        <w:rPr>
          <w:sz w:val="22"/>
        </w:rPr>
        <w:t>An app, in the Software-as-a-Service (SaaS) sense, is a product where the software runs on the vendor's infrastructure (e.g., AWS) and is accessed by licensees through a browser, API, or thin client. The vendor controls the environment end-to-end: compute, storage, networking, and software updates. Licensees interact with outcomes and interfaces, not the underlying code or data pipeline.</w:t>
      </w:r>
    </w:p>
    <w:p>
      <w:pPr>
        <w:spacing w:after="120"/>
      </w:pPr>
      <w:r>
        <w:rPr>
          <w:sz w:val="22"/>
        </w:rPr>
        <w:t>The fundamental distinction is therefore: in software distribution, the product leaves your control once shipped; in SaaS, it never does. This has profound implications for IP protection, data governance, update velocity, and regulatory compliance — all of which are examined in the sections that follow.</w:t>
      </w:r>
    </w:p>
    <w:p>
      <w:pPr>
        <w:pStyle w:val="Heading1"/>
      </w:pPr>
      <w:r>
        <w:t>II. Challenges Each Option Poses</w:t>
      </w:r>
    </w:p>
    <w:p>
      <w:pPr>
        <w:pStyle w:val="Heading2"/>
      </w:pPr>
      <w:r>
        <w:t>Containerized Software (Local Distribution)</w:t>
      </w:r>
    </w:p>
    <w:p>
      <w:pPr>
        <w:pStyle w:val="ListBullet2"/>
        <w:ind w:left="720"/>
      </w:pPr>
      <w:r>
        <w:rPr>
          <w:b/>
          <w:sz w:val="22"/>
        </w:rPr>
        <w:t xml:space="preserve">IP and algorithm exposure: </w:t>
      </w:r>
      <w:r>
        <w:rPr>
          <w:sz w:val="22"/>
        </w:rPr>
        <w:t>Once a Docker image or installable binary is in the licensee's hands, your proprietary statistical algorithms, model weights, and business logic are partially accessible. Reverse engineering, layer inspection of Docker images, or memory dumps can expose implementation details. Code obfuscation and licence-key phone-home checks help but do not eliminate the risk.</w:t>
      </w:r>
    </w:p>
    <w:p>
      <w:pPr>
        <w:pStyle w:val="ListBullet2"/>
        <w:ind w:left="720"/>
      </w:pPr>
      <w:r>
        <w:rPr>
          <w:b/>
          <w:sz w:val="22"/>
        </w:rPr>
        <w:t xml:space="preserve">Environment heterogeneity: </w:t>
      </w:r>
      <w:r>
        <w:rPr>
          <w:sz w:val="22"/>
        </w:rPr>
        <w:t>Beta testers run your software on hardware and OS configurations you cannot predict or control. Bugs that only manifest on specific kernel versions, CUDA builds, or CPU architectures are difficult to reproduce and fix remotely.</w:t>
      </w:r>
    </w:p>
    <w:p>
      <w:pPr>
        <w:pStyle w:val="ListBullet2"/>
        <w:ind w:left="720"/>
      </w:pPr>
      <w:r>
        <w:rPr>
          <w:b/>
          <w:sz w:val="22"/>
        </w:rPr>
        <w:t xml:space="preserve">License enforcement: </w:t>
      </w:r>
      <w:r>
        <w:rPr>
          <w:sz w:val="22"/>
        </w:rPr>
        <w:t>There is no reliable technical kill switch once the image is downloaded. If a beta tester violates the agreement — shares access, exceeds permitted use, or continues after expiry — enforcement requires legal action rather than a server-side deactivation.</w:t>
      </w:r>
    </w:p>
    <w:p>
      <w:pPr>
        <w:pStyle w:val="ListBullet2"/>
        <w:ind w:left="720"/>
      </w:pPr>
      <w:r>
        <w:rPr>
          <w:b/>
          <w:sz w:val="22"/>
        </w:rPr>
        <w:t xml:space="preserve">Dependency and supply-chain risk: </w:t>
      </w:r>
      <w:r>
        <w:rPr>
          <w:sz w:val="22"/>
        </w:rPr>
        <w:t>Any open-source library bundled in the container carries its own licence obligations. GPL-licensed components in particular can create obligations that conflict with commercial distribution. Dependency audits are mandatory before any beta shipment.</w:t>
      </w:r>
    </w:p>
    <w:p>
      <w:pPr>
        <w:pStyle w:val="ListBullet2"/>
        <w:ind w:left="720"/>
      </w:pPr>
      <w:r>
        <w:rPr>
          <w:b/>
          <w:sz w:val="22"/>
        </w:rPr>
        <w:t xml:space="preserve">Data handling opacity: </w:t>
      </w:r>
      <w:r>
        <w:rPr>
          <w:sz w:val="22"/>
        </w:rPr>
        <w:t>You have no visibility into what data licensees feed into the software, how outputs are used, or whether sensitive datasets are processed. This opacity complicates any future regulatory inquiry.</w:t>
      </w:r>
    </w:p>
    <w:p>
      <w:pPr>
        <w:pStyle w:val="Heading2"/>
      </w:pPr>
      <w:r>
        <w:t>Hosted SaaS (AWS-Based Dashboard)</w:t>
      </w:r>
    </w:p>
    <w:p>
      <w:pPr>
        <w:pStyle w:val="ListBullet2"/>
        <w:ind w:left="720"/>
      </w:pPr>
      <w:r>
        <w:rPr>
          <w:b/>
          <w:sz w:val="22"/>
        </w:rPr>
        <w:t xml:space="preserve">Data residency and sovereignty: </w:t>
      </w:r>
      <w:r>
        <w:rPr>
          <w:sz w:val="22"/>
        </w:rPr>
        <w:t>If beta licensees upload their own datasets to your AWS instance, the data crosses into your custody. Indian data protection law (DPDPA 2023) and sectoral regulations govern how that data must be stored, processed, and deleted. Hosting on a US-East region without explicit consent and contractual safeguards creates compliance exposure.</w:t>
      </w:r>
    </w:p>
    <w:p>
      <w:pPr>
        <w:pStyle w:val="ListBullet2"/>
        <w:ind w:left="720"/>
      </w:pPr>
      <w:r>
        <w:rPr>
          <w:b/>
          <w:sz w:val="22"/>
        </w:rPr>
        <w:t xml:space="preserve">Service availability expectations: </w:t>
      </w:r>
      <w:r>
        <w:rPr>
          <w:sz w:val="22"/>
        </w:rPr>
        <w:t>Even in beta, licensees may build workflows around your dashboard and expect uptime. Without clear disclaimers, downtime or data loss can trigger liability claims.</w:t>
      </w:r>
    </w:p>
    <w:p>
      <w:pPr>
        <w:pStyle w:val="ListBullet2"/>
        <w:ind w:left="720"/>
      </w:pPr>
      <w:r>
        <w:rPr>
          <w:b/>
          <w:sz w:val="22"/>
        </w:rPr>
        <w:t xml:space="preserve">Access control and audit requirements: </w:t>
      </w:r>
      <w:r>
        <w:rPr>
          <w:sz w:val="22"/>
        </w:rPr>
        <w:t>You are responsible for ensuring only authorised users access the platform. Weak IAM policies, shared credentials, or insufficient logging can constitute negligence if a data incident occurs during beta.</w:t>
      </w:r>
    </w:p>
    <w:p>
      <w:pPr>
        <w:pStyle w:val="ListBullet2"/>
        <w:ind w:left="720"/>
      </w:pPr>
      <w:r>
        <w:rPr>
          <w:b/>
          <w:sz w:val="22"/>
        </w:rPr>
        <w:t xml:space="preserve">Operational overhead: </w:t>
      </w:r>
      <w:r>
        <w:rPr>
          <w:sz w:val="22"/>
        </w:rPr>
        <w:t>Running a hosted service means managing infrastructure, backups, monitoring, and incident response from day one — even in beta. This requires dedicated DevOps attention and increases your cost base compared to simply shipping a container.</w:t>
      </w:r>
    </w:p>
    <w:p>
      <w:pPr>
        <w:pStyle w:val="Heading1"/>
      </w:pPr>
      <w:r>
        <w:t>III. Recommended Option</w:t>
      </w:r>
    </w:p>
    <w:p>
      <w:pPr>
        <w:spacing w:after="120"/>
      </w:pPr>
      <w:r>
        <w:rPr>
          <w:sz w:val="22"/>
        </w:rPr>
        <w:t>The hosted SaaS model (AWS-based dashboard) is the recommended option for beta testing.</w:t>
      </w:r>
    </w:p>
    <w:p>
      <w:pPr>
        <w:pStyle w:val="Heading1"/>
      </w:pPr>
      <w:r>
        <w:t>IV. Advantages of the Hosted SaaS Option</w:t>
      </w:r>
    </w:p>
    <w:p>
      <w:pPr>
        <w:pStyle w:val="ListBullet2"/>
        <w:ind w:left="720"/>
      </w:pPr>
      <w:r>
        <w:rPr>
          <w:b/>
          <w:sz w:val="22"/>
        </w:rPr>
        <w:t xml:space="preserve">Full IP control: </w:t>
      </w:r>
      <w:r>
        <w:rPr>
          <w:sz w:val="22"/>
        </w:rPr>
        <w:t>Your algorithms, models, and data pipelines remain on your infrastructure at all times. Licensees interact with results and interfaces only. There is no risk of source code or model weight exfiltration through image inspection or binary analysis.</w:t>
      </w:r>
    </w:p>
    <w:p>
      <w:pPr>
        <w:pStyle w:val="ListBullet2"/>
        <w:ind w:left="720"/>
      </w:pPr>
      <w:r>
        <w:rPr>
          <w:b/>
          <w:sz w:val="22"/>
        </w:rPr>
        <w:t xml:space="preserve">Instant patching and iteration: </w:t>
      </w:r>
      <w:r>
        <w:rPr>
          <w:sz w:val="22"/>
        </w:rPr>
        <w:t>Bugs discovered during beta can be fixed and deployed without requiring licensees to pull a new image or reinstall anything. This dramatically shortens the feedback-to-fix loop, which is the primary purpose of beta testing.</w:t>
      </w:r>
    </w:p>
    <w:p>
      <w:pPr>
        <w:pStyle w:val="ListBullet2"/>
        <w:ind w:left="720"/>
      </w:pPr>
      <w:r>
        <w:rPr>
          <w:b/>
          <w:sz w:val="22"/>
        </w:rPr>
        <w:t xml:space="preserve">Centralised access revocation: </w:t>
      </w:r>
      <w:r>
        <w:rPr>
          <w:sz w:val="22"/>
        </w:rPr>
        <w:t>Beta access can be granted or revoked instantly at the server level. If a licensee violates the agreement, misuses the platform, or the beta window expires, you flip a switch — no legal process required to enforce access termination.</w:t>
      </w:r>
    </w:p>
    <w:p>
      <w:pPr>
        <w:pStyle w:val="ListBullet2"/>
        <w:ind w:left="720"/>
      </w:pPr>
      <w:r>
        <w:rPr>
          <w:b/>
          <w:sz w:val="22"/>
        </w:rPr>
        <w:t xml:space="preserve">Usage telemetry and observability: </w:t>
      </w:r>
      <w:r>
        <w:rPr>
          <w:sz w:val="22"/>
        </w:rPr>
        <w:t>Hosting the service means you can instrument every API call, feature usage event, and error trace centrally. This data is invaluable for prioritising development and understanding how beta users actually interact with the product.</w:t>
      </w:r>
    </w:p>
    <w:p>
      <w:pPr>
        <w:pStyle w:val="ListBullet2"/>
        <w:ind w:left="720"/>
      </w:pPr>
      <w:r>
        <w:rPr>
          <w:b/>
          <w:sz w:val="22"/>
        </w:rPr>
        <w:t xml:space="preserve">Controlled data environment: </w:t>
      </w:r>
      <w:r>
        <w:rPr>
          <w:sz w:val="22"/>
        </w:rPr>
        <w:t>You define storage, encryption, retention, and deletion policies. This makes it significantly easier to demonstrate regulatory compliance compared to a distributed model where you have no visibility into how licensees manage data on their own systems.</w:t>
      </w:r>
    </w:p>
    <w:p>
      <w:pPr>
        <w:pStyle w:val="ListBullet2"/>
        <w:ind w:left="720"/>
      </w:pPr>
      <w:r>
        <w:rPr>
          <w:b/>
          <w:sz w:val="22"/>
        </w:rPr>
        <w:t xml:space="preserve">Consistent environment: </w:t>
      </w:r>
      <w:r>
        <w:rPr>
          <w:sz w:val="22"/>
        </w:rPr>
        <w:t>All licensees run against the same infrastructure, eliminating environment-specific bugs and ensuring that feedback reflects the software's behaviour, not an idiosyncratic local setup.</w:t>
      </w:r>
    </w:p>
    <w:p>
      <w:pPr>
        <w:pStyle w:val="Heading1"/>
      </w:pPr>
      <w:r>
        <w:t>V. Detailed Legal Issues by Option (Non-Healthcare Context)</w:t>
      </w:r>
    </w:p>
    <w:p>
      <w:pPr>
        <w:pStyle w:val="Heading2"/>
      </w:pPr>
      <w:r>
        <w:t>Containerized Software — Detailed Issues</w:t>
      </w:r>
    </w:p>
    <w:p>
      <w:pPr>
        <w:pStyle w:val="ListBullet2"/>
        <w:ind w:left="720"/>
      </w:pPr>
      <w:r>
        <w:rPr>
          <w:b/>
          <w:sz w:val="22"/>
        </w:rPr>
        <w:t xml:space="preserve">Intellectual property and export control: </w:t>
      </w:r>
      <w:r>
        <w:rPr>
          <w:sz w:val="22"/>
        </w:rPr>
        <w:t>India is not subject to US EAR export controls in the same way as embargoed nations, but if your container includes US-origin encryption technology (e.g., OpenSSL, TLS libraries), you may still need to file an annual EAR self-classification report. More practically, once the container is in India, your contractual protections are your only recourse if a licensee copies or redistributes your algorithms. Ensure your beta agreement includes explicit prohibitions on decompilation, redistribution, and sub-licensing, and that it is governed by Indian law with jurisdiction in a specific court.</w:t>
      </w:r>
    </w:p>
    <w:p>
      <w:pPr>
        <w:pStyle w:val="ListBullet2"/>
        <w:ind w:left="720"/>
      </w:pPr>
      <w:r>
        <w:rPr>
          <w:b/>
          <w:sz w:val="22"/>
        </w:rPr>
        <w:t xml:space="preserve">Third-party open-source licence compliance: </w:t>
      </w:r>
      <w:r>
        <w:rPr>
          <w:sz w:val="22"/>
        </w:rPr>
        <w:t>Statistical software of this nature typically bundles NumPy, SciPy, scikit-learn, PyTorch or TensorFlow, statsmodels, and similar libraries. Most are MIT or BSD licensed and are compatible with commercial use. However, if any GPL v2 or v3 component is bundled, it may trigger a copyleft obligation requiring you to make your source code available — which would be commercially devastating. A full SBOM (Software Bill of Materials) audit is required before the first beta shipment.</w:t>
      </w:r>
    </w:p>
    <w:p>
      <w:pPr>
        <w:pStyle w:val="ListBullet2"/>
        <w:ind w:left="720"/>
      </w:pPr>
      <w:r>
        <w:rPr>
          <w:b/>
          <w:sz w:val="22"/>
        </w:rPr>
        <w:t xml:space="preserve">Beta agreement and liability limitation: </w:t>
      </w:r>
      <w:r>
        <w:rPr>
          <w:sz w:val="22"/>
        </w:rPr>
        <w:t>A signed beta agreement (not a web-based clickwrap) is strongly recommended for Indian licensees. The agreement must clearly state: (a) the software is pre-release and provided 'as is'; (b) the vendor disclaims all warranties including fitness for purpose; (c) liability is capped at the licence fee paid (typically zero in beta); and (d) outputs of statistical analysis are not to be relied upon as the sole basis for business, clinical, or policy decisions.</w:t>
      </w:r>
    </w:p>
    <w:p>
      <w:pPr>
        <w:pStyle w:val="ListBullet2"/>
        <w:ind w:left="720"/>
      </w:pPr>
      <w:r>
        <w:rPr>
          <w:b/>
          <w:sz w:val="22"/>
        </w:rPr>
        <w:t xml:space="preserve">Data privacy under Indian law: </w:t>
      </w:r>
      <w:r>
        <w:rPr>
          <w:sz w:val="22"/>
        </w:rPr>
        <w:t>India's Digital Personal Data Protection Act 2023 (DPDPA) came into force in 2023 and its rules are being finalised. If beta licensees process personal data using your software — even agricultural worker records or farmer PII — they become the 'data fiduciary' and you may be a 'data processor'. Your agreement must define these roles, clarify that you are not responsible for the data the licensee chooses to process, and require the licensee to obtain valid consent from data subjects.</w:t>
      </w:r>
    </w:p>
    <w:p>
      <w:pPr>
        <w:pStyle w:val="Heading2"/>
      </w:pPr>
      <w:r>
        <w:t>Hosted SaaS — Detailed Issues</w:t>
      </w:r>
    </w:p>
    <w:p>
      <w:pPr>
        <w:pStyle w:val="ListBullet2"/>
        <w:ind w:left="720"/>
      </w:pPr>
      <w:r>
        <w:rPr>
          <w:b/>
          <w:sz w:val="22"/>
        </w:rPr>
        <w:t xml:space="preserve">Data residency under DPDPA 2023: </w:t>
      </w:r>
      <w:r>
        <w:rPr>
          <w:sz w:val="22"/>
        </w:rPr>
        <w:t>The DPDPA currently does not impose a blanket data localisation requirement for non-sensitive personal data, but the rules (still being finalised by the Data Protection Board) may impose restrictions. For beta, using an AWS ap-south-1 (Mumbai) region eliminates the cross-border transfer question entirely and is the simplest risk mitigation strategy. If US-East is used, you need explicit informed consent from data subjects and a data transfer mechanism in your beta agreement.</w:t>
      </w:r>
    </w:p>
    <w:p>
      <w:pPr>
        <w:pStyle w:val="ListBullet2"/>
        <w:ind w:left="720"/>
      </w:pPr>
      <w:r>
        <w:rPr>
          <w:b/>
          <w:sz w:val="22"/>
        </w:rPr>
        <w:t xml:space="preserve">Data processing agreements: </w:t>
      </w:r>
      <w:r>
        <w:rPr>
          <w:sz w:val="22"/>
        </w:rPr>
        <w:t>Even in beta, if licensees upload any dataset containing personal data (employee names, farmer records, patient-adjacent data), you are acting as a data processor under DPDPA. You must have a written Data Processing Agreement (DPA) with each beta licensee specifying: the categories of data processed, the purpose, the retention period, and the deletion procedure at the end of the beta. This is non-negotiable once the DPDPA rules are enforced.</w:t>
      </w:r>
    </w:p>
    <w:p>
      <w:pPr>
        <w:pStyle w:val="ListBullet2"/>
        <w:ind w:left="720"/>
      </w:pPr>
      <w:r>
        <w:rPr>
          <w:b/>
          <w:sz w:val="22"/>
        </w:rPr>
        <w:t xml:space="preserve">Uptime, SLA, and service reliability disclaimers: </w:t>
      </w:r>
      <w:r>
        <w:rPr>
          <w:sz w:val="22"/>
        </w:rPr>
        <w:t>Beta licensees must explicitly acknowledge that no SLA is in place and that the service may be suspended, modified, or terminated at any time without notice. Without this, Indian contract law (Indian Contract Act 1872) could allow a licensee to claim reasonable reliance if they built a workflow around your dashboard and it went down.</w:t>
      </w:r>
    </w:p>
    <w:p>
      <w:pPr>
        <w:pStyle w:val="ListBullet2"/>
        <w:ind w:left="720"/>
      </w:pPr>
      <w:r>
        <w:rPr>
          <w:b/>
          <w:sz w:val="22"/>
        </w:rPr>
        <w:t xml:space="preserve">Security obligations and incident notification: </w:t>
      </w:r>
      <w:r>
        <w:rPr>
          <w:sz w:val="22"/>
        </w:rPr>
        <w:t>As the entity controlling the AWS infrastructure, you are responsible for securing data at rest and in transit. At minimum: TLS 1.2+ for all connections, encryption at rest for any uploaded data, IAM roles following least-privilege, and CloudTrail logging enabled. In the event of a data breach, DPDPA will likely require notification to affected data principals and the Data Protection Board within a prescribed period (expected to be 72 hours, mirroring GDPR). Ensure you have an incident response runbook before beta launch.</w:t>
      </w:r>
    </w:p>
    <w:p>
      <w:pPr>
        <w:pStyle w:val="ListBullet2"/>
        <w:ind w:left="720"/>
      </w:pPr>
      <w:r>
        <w:rPr>
          <w:b/>
          <w:sz w:val="22"/>
        </w:rPr>
        <w:t xml:space="preserve">Output liability and statistical reliance: </w:t>
      </w:r>
      <w:r>
        <w:rPr>
          <w:sz w:val="22"/>
        </w:rPr>
        <w:t>Hosted platforms create a perception of authority — users may over-rely on ARIMA forecasts, hypothesis test outputs, or ML predictions as definitive. Your Terms of Service must prominently disclaim that all outputs are for informational and research purposes only, and that the vendor is not liable for decisions made on the basis of the software's outputs. This is especially important for time series predictions used in agriculture (e.g., yield forecasting, commodity price prediction) where financial decisions may follow.</w:t>
      </w:r>
    </w:p>
    <w:p>
      <w:pPr>
        <w:pStyle w:val="ListBullet2"/>
        <w:ind w:left="720"/>
      </w:pPr>
      <w:r>
        <w:rPr>
          <w:b/>
          <w:sz w:val="22"/>
        </w:rPr>
        <w:t xml:space="preserve">AWS acceptable use and data ownership: </w:t>
      </w:r>
      <w:r>
        <w:rPr>
          <w:sz w:val="22"/>
        </w:rPr>
        <w:t>Your AWS usage must comply with AWS's Acceptable Use Policy. More importantly, your beta agreement must be unambiguous that licensees retain ownership of any data they upload, that you will not use their data to train your models without explicit consent, and that you will delete their data upon request or at beta conclusion.</w:t>
      </w:r>
    </w:p>
    <w:p>
      <w:pPr>
        <w:pStyle w:val="Heading1"/>
      </w:pPr>
      <w:r>
        <w:t>VI. Additional Considerations if Healthcare Data is Involved</w:t>
      </w:r>
    </w:p>
    <w:p>
      <w:pPr>
        <w:spacing w:after="120"/>
      </w:pPr>
      <w:r>
        <w:rPr>
          <w:sz w:val="22"/>
        </w:rPr>
        <w:t>If beta licensees include hospitals, diagnostics labs, pharma companies, clinical research organisations, or any entity that processes patient health information, the legal complexity increases substantially under both models. The following issues apply regardless of deployment model unless otherwise noted.</w:t>
      </w:r>
    </w:p>
    <w:p>
      <w:pPr>
        <w:pStyle w:val="ListBullet2"/>
        <w:ind w:left="720"/>
      </w:pPr>
      <w:r>
        <w:rPr>
          <w:b/>
          <w:sz w:val="22"/>
        </w:rPr>
        <w:t xml:space="preserve">Applicability of health data regulations: </w:t>
      </w:r>
      <w:r>
        <w:rPr>
          <w:sz w:val="22"/>
        </w:rPr>
        <w:t>India does not yet have a standalone health data protection law equivalent to HIPAA (US) or GDPR Article 9 (EU). However, the DPDPA classifies health data as a potential 'sensitive personal data' category, and the Ministry of Health's Digital Information Security in Healthcare Act (DISHA) has been in draft form and may be enacted. The Clinical Establishments Act 2010 imposes record-keeping obligations on healthcare providers. Any statistical software processing clinical or patient-linked data must be designed to comply with whichever of these frameworks applies to the specific licensee.</w:t>
      </w:r>
    </w:p>
    <w:p>
      <w:pPr>
        <w:pStyle w:val="ListBullet2"/>
        <w:ind w:left="720"/>
      </w:pPr>
      <w:r>
        <w:rPr>
          <w:b/>
          <w:sz w:val="22"/>
        </w:rPr>
        <w:t xml:space="preserve">De-identification and anonymisation requirements: </w:t>
      </w:r>
      <w:r>
        <w:rPr>
          <w:sz w:val="22"/>
        </w:rPr>
        <w:t>Beta licensees in healthcare should be required by contract to de-identify all datasets before uploading to or processing through your software. De-identification standards should reference either the US HIPAA Safe Harbor method (widely understood internationally) or ISO 29101. Your platform should not be the last line of defence: the contract must place this obligation on the licensee, but your platform should also be designed to warn or refuse processing if structured fields that look like patient identifiers (name, DOB, patient ID) are detected.</w:t>
      </w:r>
    </w:p>
    <w:p>
      <w:pPr>
        <w:pStyle w:val="ListBullet2"/>
        <w:ind w:left="720"/>
      </w:pPr>
      <w:r>
        <w:rPr>
          <w:b/>
          <w:sz w:val="22"/>
        </w:rPr>
        <w:t xml:space="preserve">Heightened security requirements: </w:t>
      </w:r>
      <w:r>
        <w:rPr>
          <w:sz w:val="22"/>
        </w:rPr>
        <w:t>For healthcare data, the baseline AWS security posture described in Section V is insufficient. You would additionally need: end-to-end encryption with customer-managed keys (AWS KMS), audit logs retained for a minimum of 3–5 years, role-based access control with multi-factor authentication for all users, and a formal penetration test before beta launch with healthcare licensees. For containerized distribution, you would need to specify minimum hardware security requirements and potentially require licensees to run the container on encrypted volumes.</w:t>
      </w:r>
    </w:p>
    <w:p>
      <w:pPr>
        <w:pStyle w:val="ListBullet2"/>
        <w:ind w:left="720"/>
      </w:pPr>
      <w:r>
        <w:rPr>
          <w:b/>
          <w:sz w:val="22"/>
        </w:rPr>
        <w:t xml:space="preserve">Regulatory approval and medical device classification: </w:t>
      </w:r>
      <w:r>
        <w:rPr>
          <w:sz w:val="22"/>
        </w:rPr>
        <w:t>If your software is used to support clinical decision-making — for example, if a licensee uses your time series or ML models to predict patient deterioration, drug dosing patterns, or disease progression — it may be classified as a Software as a Medical Device (SaMD) under CDSCO (Central Drugs Standard Control Organisation) guidelines, which align with IMDRF principles. SaMD classification triggers formal regulatory approval requirements before commercial deployment. Beta testing in this context would require ethics committee approval and should not proceed without legal counsel specialising in Indian medical device regulation.</w:t>
      </w:r>
    </w:p>
    <w:p>
      <w:pPr>
        <w:pStyle w:val="ListBullet2"/>
        <w:ind w:left="720"/>
      </w:pPr>
      <w:r>
        <w:rPr>
          <w:b/>
          <w:sz w:val="22"/>
        </w:rPr>
        <w:t xml:space="preserve">Liability and indemnification: </w:t>
      </w:r>
      <w:r>
        <w:rPr>
          <w:sz w:val="22"/>
        </w:rPr>
        <w:t>The standard beta disclaimer — 'outputs are for informational purposes only' — is legally weaker when healthcare decisions are involved. If a licensee uses your statistical output in a clinical pathway and an adverse patient outcome results, Indian tort law and consumer protection law (Consumer Protection Act 2019) could expose you to liability even with a disclaimer if it can be shown that the disclaimer was not adequately prominent or that the software was marketed as fit for clinical use. For healthcare beta testers, require a mutual indemnification clause and consider professional liability insurance coverage.</w:t>
      </w:r>
    </w:p>
    <w:p>
      <w:pPr>
        <w:pStyle w:val="ListBullet2"/>
        <w:ind w:left="720"/>
      </w:pPr>
      <w:r>
        <w:rPr>
          <w:b/>
          <w:sz w:val="22"/>
        </w:rPr>
        <w:t xml:space="preserve">Institutional ethics and consent requirements: </w:t>
      </w:r>
      <w:r>
        <w:rPr>
          <w:sz w:val="22"/>
        </w:rPr>
        <w:t>If a healthcare beta licensee processes data derived from clinical studies or patient records — even retrospectively and de-identified — their institutional ethics committee (IEC) or institutional review board (IRB) may require approval for the use of third-party analytical tools on that data. This is the licensee's obligation, but your beta agreement should require them to represent and warrant that all necessary approvals are in place before they process any such data through your platform.</w:t>
      </w:r>
    </w:p>
    <w:p/>
    <w:p>
      <w:pPr>
        <w:spacing w:after="120"/>
      </w:pPr>
      <w:r>
        <w:rPr>
          <w:sz w:val="22"/>
        </w:rPr>
        <w:t>Note: This document is prepared for internal planning purposes and does not constitute legal advice. Before launching beta testing, particularly with healthcare licensees, engage a qualified legal practitioner with expertise in Indian IT law, data protection, and if applicable, medical device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