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
      </w:pPr>
      <w:r>
        <w:rPr>
          <w:rFonts w:ascii="Calibri" w:cs="Calibri" w:eastAsia="Calibri" w:hAnsi="Calibri"/>
          <w:b/>
          <w:bCs/>
          <w:color w:val="1F3B5C"/>
          <w:sz w:val="29"/>
          <w:szCs w:val="29"/>
        </w:rPr>
        <w:t xml:space="preserve">Product Requirements Document</w:t>
      </w:r>
    </w:p>
    <w:p>
      <w:pPr>
        <w:pBdr>
          <w:bottom w:val="single" w:color="1F3B5C" w:sz="6" w:space="5"/>
        </w:pBdr>
        <w:spacing w:after="120"/>
      </w:pPr>
      <w:r>
        <w:rPr>
          <w:rFonts w:ascii="Calibri" w:cs="Calibri" w:eastAsia="Calibri" w:hAnsi="Calibri"/>
          <w:color w:val="5A646E"/>
          <w:sz w:val="18"/>
          <w:szCs w:val="18"/>
        </w:rPr>
        <w:t xml:space="preserve">PO Stall Detection &amp; Resolution · MVP scope · Shraddha Bharambe — Casper PM Challenge</w:t>
      </w:r>
    </w:p>
    <w:p>
      <w:pPr>
        <w:spacing w:after="60" w:before="150"/>
      </w:pPr>
      <w:r>
        <w:rPr>
          <w:rFonts w:ascii="Calibri" w:cs="Calibri" w:eastAsia="Calibri" w:hAnsi="Calibri"/>
          <w:b/>
          <w:bCs/>
          <w:color w:val="1F3B5C"/>
          <w:sz w:val="20"/>
          <w:szCs w:val="20"/>
        </w:rPr>
        <w:t xml:space="preserve">1 · Problem</w:t>
      </w:r>
    </w:p>
    <w:p>
      <w:pPr>
        <w:spacing w:after="80" w:before="0" w:line="242"/>
      </w:pPr>
      <w:r>
        <w:rPr>
          <w:rFonts w:ascii="Calibri" w:cs="Calibri" w:eastAsia="Calibri" w:hAnsi="Calibri"/>
          <w:color w:val="16202B"/>
          <w:sz w:val="19"/>
          <w:szCs w:val="19"/>
        </w:rPr>
        <w:t xml:space="preserve">A GSM manages 15–20 active purchase orders and spends 5–6 hours a week finding out where each one is stuck and chasing it. The ERP shows the stage — Pending Approval, Invoice Blocked — but not the cause or the owner. That sits in mail and chat, across approval, commercial, supplier and finance conversations that never come together. Today a stall shows up two ways: the morning inbox check, or a supplier complaint.</w:t>
      </w:r>
    </w:p>
    <w:p>
      <w:pPr>
        <w:spacing w:after="80" w:before="0" w:line="242"/>
      </w:pPr>
      <w:r>
        <w:rPr>
          <w:rFonts w:ascii="Calibri" w:cs="Calibri" w:eastAsia="Calibri" w:hAnsi="Calibri"/>
          <w:b/>
          <w:bCs/>
          <w:color w:val="16202B"/>
          <w:sz w:val="19"/>
          <w:szCs w:val="19"/>
        </w:rPr>
        <w:t xml:space="preserve">Product definition. </w:t>
      </w:r>
      <w:r>
        <w:rPr>
          <w:rFonts w:ascii="Calibri" w:cs="Calibri" w:eastAsia="Calibri" w:hAnsi="Calibri"/>
          <w:color w:val="16202B"/>
          <w:sz w:val="19"/>
          <w:szCs w:val="19"/>
        </w:rPr>
        <w:t xml:space="preserve">Existing systems show what stage a PO is in. This shows where it is stuck and what clears it.</w:t>
      </w:r>
    </w:p>
    <w:p>
      <w:pPr>
        <w:spacing w:after="60" w:before="150"/>
      </w:pPr>
      <w:r>
        <w:rPr>
          <w:rFonts w:ascii="Calibri" w:cs="Calibri" w:eastAsia="Calibri" w:hAnsi="Calibri"/>
          <w:b/>
          <w:bCs/>
          <w:color w:val="1F3B5C"/>
          <w:sz w:val="20"/>
          <w:szCs w:val="20"/>
        </w:rPr>
        <w:t xml:space="preserve">2 · Jobs to be done — GSM</w:t>
      </w:r>
    </w:p>
    <w:p>
      <w:pPr>
        <w:pStyle w:val="ListParagraph"/>
        <w:numPr>
          <w:ilvl w:val="0"/>
          <w:numId w:val="1"/>
        </w:numPr>
        <w:spacing w:after="34" w:line="234"/>
      </w:pPr>
      <w:r>
        <w:rPr>
          <w:rFonts w:ascii="Calibri" w:cs="Calibri" w:eastAsia="Calibri" w:hAnsi="Calibri"/>
          <w:sz w:val="19"/>
          <w:szCs w:val="19"/>
        </w:rPr>
        <w:t xml:space="preserve">Start my day with every stalled PO surfaced, with its cause and owner, so I stop rebuilding status from my inbox.</w:t>
      </w:r>
    </w:p>
    <w:p>
      <w:pPr>
        <w:pStyle w:val="ListParagraph"/>
        <w:numPr>
          <w:ilvl w:val="0"/>
          <w:numId w:val="1"/>
        </w:numPr>
        <w:spacing w:after="34" w:line="234"/>
      </w:pPr>
      <w:r>
        <w:rPr>
          <w:rFonts w:ascii="Calibri" w:cs="Calibri" w:eastAsia="Calibri" w:hAnsi="Calibri"/>
          <w:sz w:val="19"/>
          <w:szCs w:val="19"/>
        </w:rPr>
        <w:t xml:space="preserve">When a PO stalls, have the reply drafted in the right thread, so clearing it is one review and one send.</w:t>
      </w:r>
    </w:p>
    <w:p>
      <w:pPr>
        <w:pStyle w:val="ListParagraph"/>
        <w:numPr>
          <w:ilvl w:val="0"/>
          <w:numId w:val="1"/>
        </w:numPr>
        <w:spacing w:after="34" w:line="234"/>
      </w:pPr>
      <w:r>
        <w:rPr>
          <w:rFonts w:ascii="Calibri" w:cs="Calibri" w:eastAsia="Calibri" w:hAnsi="Calibri"/>
          <w:sz w:val="19"/>
          <w:szCs w:val="19"/>
        </w:rPr>
        <w:t xml:space="preserve">See the state of all my active POs at a glance, for visibility and meetings.</w:t>
      </w:r>
    </w:p>
    <w:p>
      <w:pPr>
        <w:pStyle w:val="ListParagraph"/>
        <w:numPr>
          <w:ilvl w:val="0"/>
          <w:numId w:val="1"/>
        </w:numPr>
        <w:spacing w:after="34" w:line="234"/>
      </w:pPr>
      <w:r>
        <w:rPr>
          <w:rFonts w:ascii="Calibri" w:cs="Calibri" w:eastAsia="Calibri" w:hAnsi="Calibri"/>
          <w:sz w:val="19"/>
          <w:szCs w:val="19"/>
        </w:rPr>
        <w:t xml:space="preserve">When the system is unsure, have it ask me rather than guess, so I can trust the POs it did not flag.</w:t>
      </w:r>
    </w:p>
    <w:p>
      <w:pPr>
        <w:spacing w:after="60" w:before="150"/>
      </w:pPr>
      <w:r>
        <w:rPr>
          <w:rFonts w:ascii="Calibri" w:cs="Calibri" w:eastAsia="Calibri" w:hAnsi="Calibri"/>
          <w:b/>
          <w:bCs/>
          <w:color w:val="1F3B5C"/>
          <w:sz w:val="20"/>
          <w:szCs w:val="20"/>
        </w:rPr>
        <w:t xml:space="preserve">3 · What we are building</w:t>
      </w:r>
    </w:p>
    <w:p>
      <w:pPr>
        <w:spacing w:after="80" w:before="0" w:line="242"/>
      </w:pPr>
      <w:r>
        <w:rPr>
          <w:rFonts w:ascii="Calibri" w:cs="Calibri" w:eastAsia="Calibri" w:hAnsi="Calibri"/>
          <w:color w:val="16202B"/>
          <w:sz w:val="19"/>
          <w:szCs w:val="19"/>
        </w:rPr>
        <w:t xml:space="preserve">Each working day, before the GSM starts, the system reads new mail and chat, updates every active PO, and posts one ranked message to their chat surface (Teams or Slack):</w:t>
      </w:r>
    </w:p>
    <w:p>
      <w:pPr>
        <w:pBdr>
          <w:top w:val="single" w:color="C7D0D7" w:sz="4" w:space="4"/>
        </w:pBdr>
        <w:spacing w:after="30" w:before="30"/>
      </w:pPr>
      <w:r>
        <w:rPr>
          <w:rFonts w:ascii="Consolas" w:cs="Consolas" w:eastAsia="Consolas" w:hAnsi="Consolas"/>
          <w:b/>
          <w:bCs/>
          <w:color w:val="30414F"/>
          <w:sz w:val="17"/>
          <w:szCs w:val="17"/>
        </w:rPr>
        <w:t xml:space="preserve">Good morning — 12 active POs</w:t>
      </w:r>
    </w:p>
    <w:p>
      <w:pPr>
        <w:spacing w:after="0" w:line="224"/>
      </w:pPr>
      <w:r>
        <w:rPr>
          <w:rFonts w:ascii="Consolas" w:cs="Consolas" w:eastAsia="Consolas" w:hAnsi="Consolas"/>
          <w:color w:val="30414F"/>
          <w:sz w:val="16"/>
          <w:szCs w:val="16"/>
        </w:rPr>
        <w:t xml:space="preserve">CRITICAL</w:t>
      </w:r>
    </w:p>
    <w:p>
      <w:pPr>
        <w:spacing w:after="0" w:line="224"/>
      </w:pPr>
      <w:r>
        <w:rPr>
          <w:rFonts w:ascii="Consolas" w:cs="Consolas" w:eastAsia="Consolas" w:hAnsi="Consolas"/>
          <w:color w:val="30414F"/>
          <w:sz w:val="16"/>
          <w:szCs w:val="16"/>
        </w:rPr>
        <w:t xml:space="preserve">PO-10234 · Acme Motors</w:t>
      </w:r>
    </w:p>
    <w:p>
      <w:pPr>
        <w:spacing w:after="0" w:line="224"/>
      </w:pPr>
      <w:r>
        <w:rPr>
          <w:rFonts w:ascii="Consolas" w:cs="Consolas" w:eastAsia="Consolas" w:hAnsi="Consolas"/>
          <w:color w:val="30414F"/>
          <w:sz w:val="16"/>
          <w:szCs w:val="16"/>
        </w:rPr>
        <w:t xml:space="preserve">  Status:  Finance approval pending, Manager A (5 working days)</w:t>
      </w:r>
    </w:p>
    <w:p>
      <w:pPr>
        <w:spacing w:after="0" w:line="224"/>
      </w:pPr>
      <w:r>
        <w:rPr>
          <w:rFonts w:ascii="Consolas" w:cs="Consolas" w:eastAsia="Consolas" w:hAnsi="Consolas"/>
          <w:color w:val="30414F"/>
          <w:sz w:val="16"/>
          <w:szCs w:val="16"/>
        </w:rPr>
        <w:t xml:space="preserve">  Update:  18 Jul — invoice approved by Procurement</w:t>
      </w:r>
    </w:p>
    <w:p>
      <w:pPr>
        <w:spacing w:after="0" w:line="224"/>
      </w:pPr>
      <w:r>
        <w:rPr>
          <w:rFonts w:ascii="Consolas" w:cs="Consolas" w:eastAsia="Consolas" w:hAnsi="Consolas"/>
          <w:color w:val="30414F"/>
          <w:sz w:val="16"/>
          <w:szCs w:val="16"/>
        </w:rPr>
        <w:t xml:space="preserve">  Action:  Escalate to Finance · draft ready in Outlook</w:t>
      </w:r>
    </w:p>
    <w:p>
      <w:pPr>
        <w:spacing w:after="0" w:line="224"/>
      </w:pPr>
      <w:r>
        <w:rPr>
          <w:rFonts w:ascii="Consolas" w:cs="Consolas" w:eastAsia="Consolas" w:hAnsi="Consolas"/>
          <w:color w:val="30414F"/>
          <w:sz w:val="16"/>
          <w:szCs w:val="16"/>
        </w:rPr>
        <w:t xml:space="preserve">  Vendor:  Requested payment yesterday, flagged shipment hold</w:t>
      </w:r>
    </w:p>
    <w:p>
      <w:pPr>
        <w:spacing w:after="0" w:line="224"/>
      </w:pPr>
      <w:r>
        <w:rPr>
          <w:rFonts w:ascii="Consolas" w:cs="Consolas" w:eastAsia="Consolas" w:hAnsi="Consolas"/>
          <w:color w:val="30414F"/>
          <w:sz w:val="16"/>
          <w:szCs w:val="16"/>
        </w:rPr>
        <w:t xml:space="preserve">MEDIUM</w:t>
      </w:r>
    </w:p>
    <w:p>
      <w:pPr>
        <w:spacing w:after="0" w:line="224"/>
      </w:pPr>
      <w:r>
        <w:rPr>
          <w:rFonts w:ascii="Consolas" w:cs="Consolas" w:eastAsia="Consolas" w:hAnsi="Consolas"/>
          <w:color w:val="30414F"/>
          <w:sz w:val="16"/>
          <w:szCs w:val="16"/>
        </w:rPr>
        <w:t xml:space="preserve">PO-10356 · Vertex Polymers — awaiting your review of revised quote</w:t>
      </w:r>
    </w:p>
    <w:p>
      <w:pPr>
        <w:spacing w:after="0" w:line="224"/>
      </w:pPr>
      <w:r>
        <w:rPr>
          <w:rFonts w:ascii="Consolas" w:cs="Consolas" w:eastAsia="Consolas" w:hAnsi="Consolas"/>
          <w:color w:val="30414F"/>
          <w:sz w:val="16"/>
          <w:szCs w:val="16"/>
        </w:rPr>
        <w:t xml:space="preserve">NO ACTION</w:t>
      </w:r>
    </w:p>
    <w:p>
      <w:pPr>
        <w:spacing w:after="0" w:line="224"/>
      </w:pPr>
      <w:r>
        <w:rPr>
          <w:rFonts w:ascii="Consolas" w:cs="Consolas" w:eastAsia="Consolas" w:hAnsi="Consolas"/>
          <w:color w:val="30414F"/>
          <w:sz w:val="16"/>
          <w:szCs w:val="16"/>
        </w:rPr>
        <w:t xml:space="preserve">PO-10412 · Base Metals — in production, on schedule (20 Jul)</w:t>
      </w:r>
    </w:p>
    <w:p>
      <w:pPr>
        <w:pBdr>
          <w:bottom w:val="single" w:color="C7D0D7" w:sz="4" w:space="4"/>
        </w:pBdr>
        <w:spacing w:after="90" w:before="0"/>
      </w:pPr>
      <w:r>
        <w:rPr>
          <w:sz w:val="6"/>
          <w:szCs w:val="6"/>
        </w:rPr>
        <w:t xml:space="preserve"/>
      </w:r>
    </w:p>
    <w:p>
      <w:pPr>
        <w:spacing w:after="80" w:before="0" w:line="242"/>
      </w:pPr>
      <w:r>
        <w:rPr>
          <w:rFonts w:ascii="Calibri" w:cs="Calibri" w:eastAsia="Calibri" w:hAnsi="Calibri"/>
          <w:b/>
          <w:bCs/>
          <w:color w:val="16202B"/>
          <w:sz w:val="19"/>
          <w:szCs w:val="19"/>
        </w:rPr>
        <w:t xml:space="preserve">Critical</w:t>
      </w:r>
      <w:r>
        <w:rPr>
          <w:rFonts w:ascii="Calibri" w:cs="Calibri" w:eastAsia="Calibri" w:hAnsi="Calibri"/>
          <w:color w:val="16202B"/>
          <w:sz w:val="19"/>
          <w:szCs w:val="19"/>
        </w:rPr>
        <w:t xml:space="preserve"> — a track past the idle threshold, needing the GSM's input or a supplier reply.  </w:t>
      </w:r>
      <w:r>
        <w:rPr>
          <w:rFonts w:ascii="Calibri" w:cs="Calibri" w:eastAsia="Calibri" w:hAnsi="Calibri"/>
          <w:b/>
          <w:bCs/>
          <w:color w:val="16202B"/>
          <w:sz w:val="19"/>
          <w:szCs w:val="19"/>
        </w:rPr>
        <w:t xml:space="preserve">Medium</w:t>
      </w:r>
      <w:r>
        <w:rPr>
          <w:rFonts w:ascii="Calibri" w:cs="Calibri" w:eastAsia="Calibri" w:hAnsi="Calibri"/>
          <w:color w:val="16202B"/>
          <w:sz w:val="19"/>
          <w:szCs w:val="19"/>
        </w:rPr>
        <w:t xml:space="preserve"> — near threshold, or a routine reminder.  </w:t>
      </w:r>
      <w:r>
        <w:rPr>
          <w:rFonts w:ascii="Calibri" w:cs="Calibri" w:eastAsia="Calibri" w:hAnsi="Calibri"/>
          <w:b/>
          <w:bCs/>
          <w:color w:val="16202B"/>
          <w:sz w:val="19"/>
          <w:szCs w:val="19"/>
        </w:rPr>
        <w:t xml:space="preserve">No action</w:t>
      </w:r>
      <w:r>
        <w:rPr>
          <w:rFonts w:ascii="Calibri" w:cs="Calibri" w:eastAsia="Calibri" w:hAnsi="Calibri"/>
          <w:color w:val="16202B"/>
          <w:sz w:val="19"/>
          <w:szCs w:val="19"/>
        </w:rPr>
        <w:t xml:space="preserve"> — on track, one line for visibility. Empty sections do not appear.</w:t>
      </w:r>
    </w:p>
    <w:p>
      <w:pPr>
        <w:spacing w:after="60" w:before="150"/>
      </w:pPr>
      <w:r>
        <w:rPr>
          <w:rFonts w:ascii="Calibri" w:cs="Calibri" w:eastAsia="Calibri" w:hAnsi="Calibri"/>
          <w:b/>
          <w:bCs/>
          <w:color w:val="1F3B5C"/>
          <w:sz w:val="20"/>
          <w:szCs w:val="20"/>
        </w:rPr>
        <w:t xml:space="preserve">4 · How it works</w:t>
      </w:r>
    </w:p>
    <w:p>
      <w:pPr>
        <w:spacing w:after="80" w:before="0" w:line="242"/>
      </w:pPr>
      <w:r>
        <w:rPr>
          <w:rFonts w:ascii="Calibri" w:cs="Calibri" w:eastAsia="Calibri" w:hAnsi="Calibri"/>
          <w:color w:val="16202B"/>
          <w:sz w:val="19"/>
          <w:szCs w:val="19"/>
        </w:rPr>
        <w:t xml:space="preserve">A PO runs on four parallel tracks — approval, commercial, supplier, finance — because it can be healthy on one and stuck on another. Idle time is counted per track, in working days. A track with no movement for 4 working days becomes critical; a nudge is drafted on day 5. [Provisional — one threshold for the MVP, calibrated per track during the pilot; owner: PM.]</w:t>
      </w:r>
    </w:p>
    <w:p>
      <w:pPr>
        <w:spacing w:after="80" w:before="0" w:line="242"/>
      </w:pPr>
      <w:r>
        <w:rPr>
          <w:rFonts w:ascii="Calibri" w:cs="Calibri" w:eastAsia="Calibri" w:hAnsi="Calibri"/>
          <w:b/>
          <w:bCs/>
          <w:color w:val="16202B"/>
          <w:sz w:val="19"/>
          <w:szCs w:val="19"/>
        </w:rPr>
        <w:t xml:space="preserve">Confidence. </w:t>
      </w:r>
      <w:r>
        <w:rPr>
          <w:rFonts w:ascii="Calibri" w:cs="Calibri" w:eastAsia="Calibri" w:hAnsi="Calibri"/>
          <w:color w:val="16202B"/>
          <w:sz w:val="19"/>
          <w:szCs w:val="19"/>
        </w:rPr>
        <w:t xml:space="preserve">Each extracted field carries a confidence score from the extraction step, calibrated against the golden set. It drives two branches only: below the threshold a field is not written to state, and below it a draft is not written. The threshold is set in the pilot.</w:t>
      </w:r>
    </w:p>
    <w:p>
      <w:pPr>
        <w:spacing w:after="80" w:before="40" w:line="242"/>
      </w:pPr>
      <w:r>
        <w:rPr>
          <w:rFonts w:ascii="Calibri" w:cs="Calibri" w:eastAsia="Calibri" w:hAnsi="Calibri"/>
          <w:color w:val="16202B"/>
          <w:sz w:val="19"/>
          <w:szCs w:val="19"/>
        </w:rPr>
        <w:t xml:space="preserve">Two steps use a language model; everything else is plain code, so behaviour is stable and every line traces to a message.</w:t>
      </w:r>
    </w:p>
    <w:p>
      <w:pPr>
        <w:spacing w:after="80" w:before="0" w:line="242"/>
      </w:pPr>
      <w:r>
        <w:rPr>
          <w:rFonts w:ascii="Calibri" w:cs="Calibri" w:eastAsia="Calibri" w:hAnsi="Calibri"/>
          <w:b/>
          <w:bCs/>
          <w:color w:val="16202B"/>
          <w:sz w:val="19"/>
          <w:szCs w:val="19"/>
        </w:rPr>
        <w:t xml:space="preserve">Classify. </w:t>
      </w:r>
      <w:r>
        <w:rPr>
          <w:rFonts w:ascii="Calibri" w:cs="Calibri" w:eastAsia="Calibri" w:hAnsi="Calibri"/>
          <w:color w:val="16202B"/>
          <w:sz w:val="19"/>
          <w:szCs w:val="19"/>
        </w:rPr>
        <w:t xml:space="preserve">Each message is placed on one track and read for what changed, which PO, who, when. A revised quote is commercial; a wrong cost-centre note is approval; an ERP stage notice is the most reliable approval signal. If the model can't place it or can't quote its evidence, it goes to review, not to state.</w:t>
      </w:r>
    </w:p>
    <w:p>
      <w:pPr>
        <w:spacing w:after="80" w:before="0" w:line="242"/>
      </w:pPr>
      <w:r>
        <w:rPr>
          <w:rFonts w:ascii="Calibri" w:cs="Calibri" w:eastAsia="Calibri" w:hAnsi="Calibri"/>
          <w:b/>
          <w:bCs/>
          <w:color w:val="16202B"/>
          <w:sz w:val="19"/>
          <w:szCs w:val="19"/>
        </w:rPr>
        <w:t xml:space="preserve">Route. </w:t>
      </w:r>
      <w:r>
        <w:rPr>
          <w:rFonts w:ascii="Calibri" w:cs="Calibri" w:eastAsia="Calibri" w:hAnsi="Calibri"/>
          <w:color w:val="16202B"/>
          <w:sz w:val="19"/>
          <w:szCs w:val="19"/>
        </w:rPr>
        <w:t xml:space="preserve">A stall's reply is always sent into the existing thread, never a new email, so history stays intact and the response lands where the system is already watching. The situation picks the template — nudge the approver, escalate to the next level, answer a supplier, chase an acknowledgement, or request missing info. Chat notes carry the PO and the point only. Drafts save to Outlook; nothing sends without a human.</w:t>
      </w:r>
    </w:p>
    <w:p>
      <w:pPr>
        <w:spacing w:after="80" w:before="0" w:line="242"/>
      </w:pPr>
      <w:r>
        <w:rPr>
          <w:rFonts w:ascii="Calibri" w:cs="Calibri" w:eastAsia="Calibri" w:hAnsi="Calibri"/>
          <w:b/>
          <w:bCs/>
          <w:color w:val="16202B"/>
          <w:sz w:val="19"/>
          <w:szCs w:val="19"/>
        </w:rPr>
        <w:t xml:space="preserve">Rank. </w:t>
      </w:r>
      <w:r>
        <w:rPr>
          <w:rFonts w:ascii="Calibri" w:cs="Calibri" w:eastAsia="Calibri" w:hAnsi="Calibri"/>
          <w:color w:val="16202B"/>
          <w:sz w:val="19"/>
          <w:szCs w:val="19"/>
        </w:rPr>
        <w:t xml:space="preserve">Confidence decides how far a draft goes: above threshold the reply is written and saved; below it, the line names the department to follow up and drafts nothing.</w:t>
      </w:r>
    </w:p>
    <w:p>
      <w:pPr>
        <w:spacing w:after="60" w:before="150"/>
      </w:pPr>
      <w:r>
        <w:rPr>
          <w:rFonts w:ascii="Calibri" w:cs="Calibri" w:eastAsia="Calibri" w:hAnsi="Calibri"/>
          <w:b/>
          <w:bCs/>
          <w:color w:val="1F3B5C"/>
          <w:sz w:val="20"/>
          <w:szCs w:val="20"/>
        </w:rPr>
        <w:t xml:space="preserve">5 · Deployment and connectivity</w:t>
      </w:r>
    </w:p>
    <w:p>
      <w:pPr>
        <w:spacing w:after="80" w:before="0" w:line="242"/>
      </w:pPr>
      <w:r>
        <w:rPr>
          <w:rFonts w:ascii="Calibri" w:cs="Calibri" w:eastAsia="Calibri" w:hAnsi="Calibri"/>
          <w:color w:val="16202B"/>
          <w:sz w:val="19"/>
          <w:szCs w:val="19"/>
        </w:rPr>
        <w:t xml:space="preserve">A scheduled job inside the client's own cloud tenant. No hosted software, no new vendor, no new seat. It reads and writes through the APIs the client already has.</w:t>
      </w:r>
    </w:p>
    <w:p>
      <w:pPr>
        <w:spacing w:after="34" w:before="0" w:line="242"/>
      </w:pPr>
      <w:r>
        <w:rPr>
          <w:rFonts w:ascii="Calibri" w:cs="Calibri" w:eastAsia="Calibri" w:hAnsi="Calibri"/>
          <w:b/>
          <w:bCs/>
          <w:color w:val="16202B"/>
          <w:sz w:val="19"/>
          <w:szCs w:val="19"/>
        </w:rPr>
        <w:t xml:space="preserve">Inputs — </w:t>
      </w:r>
      <w:r>
        <w:rPr>
          <w:rFonts w:ascii="Calibri" w:cs="Calibri" w:eastAsia="Calibri" w:hAnsi="Calibri"/>
          <w:color w:val="16202B"/>
          <w:sz w:val="19"/>
          <w:szCs w:val="19"/>
        </w:rPr>
        <w:t xml:space="preserve">mail, chat, and ERP stage notifications, read through existing connectors. The existing PO tracker seeds the active-PO list on the first run.</w:t>
      </w:r>
    </w:p>
    <w:p>
      <w:pPr>
        <w:spacing w:after="34" w:before="0" w:line="242"/>
      </w:pPr>
      <w:r>
        <w:rPr>
          <w:rFonts w:ascii="Calibri" w:cs="Calibri" w:eastAsia="Calibri" w:hAnsi="Calibri"/>
          <w:b/>
          <w:bCs/>
          <w:color w:val="16202B"/>
          <w:sz w:val="19"/>
          <w:szCs w:val="19"/>
        </w:rPr>
        <w:t xml:space="preserve">Processing — </w:t>
      </w:r>
      <w:r>
        <w:rPr>
          <w:rFonts w:ascii="Calibri" w:cs="Calibri" w:eastAsia="Calibri" w:hAnsi="Calibri"/>
          <w:color w:val="16202B"/>
          <w:sz w:val="19"/>
          <w:szCs w:val="19"/>
        </w:rPr>
        <w:t xml:space="preserve">the deterministic pipeline plus two model calls, run once a day, on the client's own model account.</w:t>
      </w:r>
    </w:p>
    <w:p>
      <w:pPr>
        <w:spacing w:after="34" w:before="0" w:line="242"/>
      </w:pPr>
      <w:r>
        <w:rPr>
          <w:rFonts w:ascii="Calibri" w:cs="Calibri" w:eastAsia="Calibri" w:hAnsi="Calibri"/>
          <w:b/>
          <w:bCs/>
          <w:color w:val="16202B"/>
          <w:sz w:val="19"/>
          <w:szCs w:val="19"/>
        </w:rPr>
        <w:t xml:space="preserve">Outputs — </w:t>
      </w:r>
      <w:r>
        <w:rPr>
          <w:rFonts w:ascii="Calibri" w:cs="Calibri" w:eastAsia="Calibri" w:hAnsi="Calibri"/>
          <w:color w:val="16202B"/>
          <w:sz w:val="19"/>
          <w:szCs w:val="19"/>
        </w:rPr>
        <w:t xml:space="preserve">the ranked digest to the chat surface, and reply drafts saved to the GSM's mail drafts. It never writes to the ERP.</w:t>
      </w:r>
    </w:p>
    <w:p>
      <w:pPr>
        <w:spacing w:after="80" w:before="0" w:line="242"/>
      </w:pPr>
      <w:r>
        <w:rPr>
          <w:rFonts w:ascii="Calibri" w:cs="Calibri" w:eastAsia="Calibri" w:hAnsi="Calibri"/>
          <w:b/>
          <w:bCs/>
          <w:color w:val="16202B"/>
          <w:sz w:val="19"/>
          <w:szCs w:val="19"/>
        </w:rPr>
        <w:t xml:space="preserve">Storage — </w:t>
      </w:r>
      <w:r>
        <w:rPr>
          <w:rFonts w:ascii="Calibri" w:cs="Calibri" w:eastAsia="Calibri" w:hAnsi="Calibri"/>
          <w:color w:val="16202B"/>
          <w:sz w:val="19"/>
          <w:szCs w:val="19"/>
        </w:rPr>
        <w:t xml:space="preserve">PO state lives in a cloud database, the single source of truth. One GSM can run on a simple store; a team moves to a shared cloud database so everyone sees the same state.</w:t>
      </w:r>
    </w:p>
    <w:p>
      <w:pPr>
        <w:spacing w:after="60" w:before="150"/>
      </w:pPr>
      <w:r>
        <w:rPr>
          <w:rFonts w:ascii="Calibri" w:cs="Calibri" w:eastAsia="Calibri" w:hAnsi="Calibri"/>
          <w:b/>
          <w:bCs/>
          <w:color w:val="1F3B5C"/>
          <w:sz w:val="20"/>
          <w:szCs w:val="20"/>
        </w:rPr>
        <w:t xml:space="preserve">6 · Scope</w:t>
      </w:r>
    </w:p>
    <w:p>
      <w:pPr>
        <w:spacing w:after="80" w:before="0" w:line="242"/>
      </w:pPr>
      <w:r>
        <w:rPr>
          <w:rFonts w:ascii="Calibri" w:cs="Calibri" w:eastAsia="Calibri" w:hAnsi="Calibri"/>
          <w:b/>
          <w:bCs/>
          <w:color w:val="16202B"/>
          <w:sz w:val="19"/>
          <w:szCs w:val="19"/>
        </w:rPr>
        <w:t xml:space="preserve">In. </w:t>
      </w:r>
      <w:r>
        <w:rPr>
          <w:rFonts w:ascii="Calibri" w:cs="Calibri" w:eastAsia="Calibri" w:hAnsi="Calibri"/>
          <w:color w:val="16202B"/>
          <w:sz w:val="19"/>
          <w:szCs w:val="19"/>
        </w:rPr>
        <w:t xml:space="preserve">Blockers that show up in communication: approver sitting on it, approver on leave, supplier not acknowledged, missing information, budget or price problem from finance, engineering revision pending, vendor onboarding incomplete, missing goods receipt, invoice stalled in finance, and payment past terms. Each has a fixed owner and next action, so diagnosis is a lookup, not open reasoning.</w:t>
      </w:r>
    </w:p>
    <w:p>
      <w:pPr>
        <w:spacing w:after="80" w:before="0" w:line="242"/>
      </w:pPr>
      <w:r>
        <w:rPr>
          <w:rFonts w:ascii="Calibri" w:cs="Calibri" w:eastAsia="Calibri" w:hAnsi="Calibri"/>
          <w:b/>
          <w:bCs/>
          <w:color w:val="16202B"/>
          <w:sz w:val="19"/>
          <w:szCs w:val="19"/>
        </w:rPr>
        <w:t xml:space="preserve">PO lifecycle. </w:t>
      </w:r>
      <w:r>
        <w:rPr>
          <w:rFonts w:ascii="Calibri" w:cs="Calibri" w:eastAsia="Calibri" w:hAnsi="Calibri"/>
          <w:color w:val="16202B"/>
          <w:sz w:val="19"/>
          <w:szCs w:val="19"/>
        </w:rPr>
        <w:t xml:space="preserve">A PO enters the active set from the tracker and leaves it when the ERP sends its PO-closed notification on payment. Closed POs drop out of the digest.</w:t>
      </w:r>
    </w:p>
    <w:p>
      <w:pPr>
        <w:spacing w:after="80" w:before="0" w:line="242"/>
      </w:pPr>
      <w:r>
        <w:rPr>
          <w:rFonts w:ascii="Calibri" w:cs="Calibri" w:eastAsia="Calibri" w:hAnsi="Calibri"/>
          <w:b/>
          <w:bCs/>
          <w:color w:val="16202B"/>
          <w:sz w:val="19"/>
          <w:szCs w:val="19"/>
        </w:rPr>
        <w:t xml:space="preserve">Out. </w:t>
      </w:r>
      <w:r>
        <w:rPr>
          <w:rFonts w:ascii="Calibri" w:cs="Calibri" w:eastAsia="Calibri" w:hAnsi="Calibri"/>
          <w:color w:val="16202B"/>
          <w:sz w:val="19"/>
          <w:szCs w:val="19"/>
        </w:rPr>
        <w:t xml:space="preserve">No ERP write or read of workflow state — write access is the biggest security and adoption blocker, and the ERP doesn't hold the cause anyway. No auto-send — a wrong external message can't be recalled; the human tap is the trust mechanism. No paying faster — the float is deliberate; the goal is paying in the right order. No blockers visible only inside the ERP, and no intra-day alerts — this process moves over days.</w:t>
      </w:r>
    </w:p>
    <w:p>
      <w:pPr>
        <w:spacing w:after="60" w:before="150"/>
      </w:pPr>
      <w:r>
        <w:rPr>
          <w:rFonts w:ascii="Calibri" w:cs="Calibri" w:eastAsia="Calibri" w:hAnsi="Calibri"/>
          <w:b/>
          <w:bCs/>
          <w:color w:val="1F3B5C"/>
          <w:sz w:val="20"/>
          <w:szCs w:val="20"/>
        </w:rPr>
        <w:t xml:space="preserve">7 · Assumptions</w:t>
      </w:r>
    </w:p>
    <w:p>
      <w:pPr>
        <w:pStyle w:val="ListParagraph"/>
        <w:numPr>
          <w:ilvl w:val="0"/>
          <w:numId w:val="1"/>
        </w:numPr>
        <w:spacing w:after="34" w:line="234"/>
      </w:pPr>
      <w:r>
        <w:rPr>
          <w:rFonts w:ascii="Calibri" w:cs="Calibri" w:eastAsia="Calibri" w:hAnsi="Calibri"/>
          <w:sz w:val="19"/>
          <w:szCs w:val="19"/>
        </w:rPr>
        <w:t xml:space="preserve">The client has a language model available inside its own tenant.</w:t>
      </w:r>
    </w:p>
    <w:p>
      <w:pPr>
        <w:pStyle w:val="ListParagraph"/>
        <w:numPr>
          <w:ilvl w:val="0"/>
          <w:numId w:val="1"/>
        </w:numPr>
        <w:spacing w:after="34" w:line="234"/>
      </w:pPr>
      <w:r>
        <w:rPr>
          <w:rFonts w:ascii="Calibri" w:cs="Calibri" w:eastAsia="Calibri" w:hAnsi="Calibri"/>
          <w:sz w:val="19"/>
          <w:szCs w:val="19"/>
        </w:rPr>
        <w:t xml:space="preserve">ERP stage notifications reach the mailbox the system reads — this anchors the approval track.</w:t>
      </w:r>
    </w:p>
    <w:p>
      <w:pPr>
        <w:pStyle w:val="ListParagraph"/>
        <w:numPr>
          <w:ilvl w:val="0"/>
          <w:numId w:val="1"/>
        </w:numPr>
        <w:spacing w:after="34" w:line="234"/>
      </w:pPr>
      <w:r>
        <w:rPr>
          <w:rFonts w:ascii="Calibri" w:cs="Calibri" w:eastAsia="Calibri" w:hAnsi="Calibri"/>
          <w:sz w:val="19"/>
          <w:szCs w:val="19"/>
        </w:rPr>
        <w:t xml:space="preserve">Read access to the GSM's mail and chat can be granted through the client's normal consent process.</w:t>
      </w:r>
    </w:p>
    <w:p>
      <w:pPr>
        <w:spacing w:after="60" w:before="150"/>
      </w:pPr>
      <w:r>
        <w:rPr>
          <w:rFonts w:ascii="Calibri" w:cs="Calibri" w:eastAsia="Calibri" w:hAnsi="Calibri"/>
          <w:b/>
          <w:bCs/>
          <w:color w:val="1F3B5C"/>
          <w:sz w:val="20"/>
          <w:szCs w:val="20"/>
        </w:rPr>
        <w:t xml:space="preserve">8 · Requirements</w:t>
      </w:r>
    </w:p>
    <w:p>
      <w:pPr>
        <w:spacing w:after="80" w:before="0" w:line="242"/>
      </w:pPr>
      <w:r>
        <w:rPr>
          <w:rFonts w:ascii="Calibri" w:cs="Calibri" w:eastAsia="Calibri" w:hAnsi="Calibri"/>
          <w:color w:val="5A646E"/>
          <w:sz w:val="18"/>
          <w:szCs w:val="18"/>
        </w:rPr>
        <w:t xml:space="preserve">All P0 — cut one and the product no longer clears a stall end to end. Acceptance criteria live in the tickets. The two model steps are measured against the gates in the AI Evaluation Plan.</w:t>
      </w:r>
    </w:p>
    <w:p>
      <w:pPr>
        <w:spacing w:after="30" w:line="234"/>
        <w:ind w:left="190" w:hanging="190"/>
      </w:pPr>
      <w:r>
        <w:rPr>
          <w:rFonts w:ascii="Calibri" w:cs="Calibri" w:eastAsia="Calibri" w:hAnsi="Calibri"/>
          <w:b/>
          <w:bCs/>
          <w:sz w:val="19"/>
          <w:szCs w:val="19"/>
        </w:rPr>
        <w:t xml:space="preserve">FR-1  </w:t>
      </w:r>
      <w:r>
        <w:rPr>
          <w:rFonts w:ascii="Calibri" w:cs="Calibri" w:eastAsia="Calibri" w:hAnsi="Calibri"/>
          <w:sz w:val="19"/>
          <w:szCs w:val="19"/>
        </w:rPr>
        <w:t xml:space="preserve">Read new mail and chat since the last checkpoint. First run uses a fixed 14-day lookback and writes nothing.</w:t>
      </w:r>
    </w:p>
    <w:p>
      <w:pPr>
        <w:spacing w:after="30" w:line="234"/>
        <w:ind w:left="190" w:hanging="190"/>
      </w:pPr>
      <w:r>
        <w:rPr>
          <w:rFonts w:ascii="Calibri" w:cs="Calibri" w:eastAsia="Calibri" w:hAnsi="Calibri"/>
          <w:b/>
          <w:bCs/>
          <w:sz w:val="19"/>
          <w:szCs w:val="19"/>
        </w:rPr>
        <w:t xml:space="preserve">FR-2  </w:t>
      </w:r>
      <w:r>
        <w:rPr>
          <w:rFonts w:ascii="Calibri" w:cs="Calibri" w:eastAsia="Calibri" w:hAnsi="Calibri"/>
          <w:sz w:val="19"/>
          <w:szCs w:val="19"/>
        </w:rPr>
        <w:t xml:space="preserve">Discard messages that fail the pre-filters — sender allowlist, PO-reference pattern, thread continuity — logging a reason for each.</w:t>
      </w:r>
    </w:p>
    <w:p>
      <w:pPr>
        <w:spacing w:after="30" w:line="234"/>
        <w:ind w:left="190" w:hanging="190"/>
      </w:pPr>
      <w:r>
        <w:rPr>
          <w:rFonts w:ascii="Calibri" w:cs="Calibri" w:eastAsia="Calibri" w:hAnsi="Calibri"/>
          <w:b/>
          <w:bCs/>
          <w:sz w:val="19"/>
          <w:szCs w:val="19"/>
        </w:rPr>
        <w:t xml:space="preserve">FR-3  </w:t>
      </w:r>
      <w:r>
        <w:rPr>
          <w:rFonts w:ascii="Calibri" w:cs="Calibri" w:eastAsia="Calibri" w:hAnsi="Calibri"/>
          <w:sz w:val="19"/>
          <w:szCs w:val="19"/>
        </w:rPr>
        <w:t xml:space="preserve">Classify each message onto one track and extract PO reference, status, dates, amounts and parties, with a confidence score and a quoted span per field. No quote, no field. Meets the classify-and-extract gate in the Eval Plan.</w:t>
      </w:r>
    </w:p>
    <w:p>
      <w:pPr>
        <w:spacing w:after="30" w:line="234"/>
        <w:ind w:left="190" w:hanging="190"/>
      </w:pPr>
      <w:r>
        <w:rPr>
          <w:rFonts w:ascii="Calibri" w:cs="Calibri" w:eastAsia="Calibri" w:hAnsi="Calibri"/>
          <w:b/>
          <w:bCs/>
          <w:sz w:val="19"/>
          <w:szCs w:val="19"/>
        </w:rPr>
        <w:t xml:space="preserve">FR-4  </w:t>
      </w:r>
      <w:r>
        <w:rPr>
          <w:rFonts w:ascii="Calibri" w:cs="Calibri" w:eastAsia="Calibri" w:hAnsi="Calibri"/>
          <w:sz w:val="19"/>
          <w:szCs w:val="19"/>
        </w:rPr>
        <w:t xml:space="preserve">Validate before state: PO exists, amount matches, sender on record, span resolves to the new message, message ID unseen.</w:t>
      </w:r>
    </w:p>
    <w:p>
      <w:pPr>
        <w:spacing w:after="30" w:line="234"/>
        <w:ind w:left="190" w:hanging="190"/>
      </w:pPr>
      <w:r>
        <w:rPr>
          <w:rFonts w:ascii="Calibri" w:cs="Calibri" w:eastAsia="Calibri" w:hAnsi="Calibri"/>
          <w:b/>
          <w:bCs/>
          <w:sz w:val="19"/>
          <w:szCs w:val="19"/>
        </w:rPr>
        <w:t xml:space="preserve">FR-5  </w:t>
      </w:r>
      <w:r>
        <w:rPr>
          <w:rFonts w:ascii="Calibri" w:cs="Calibri" w:eastAsia="Calibri" w:hAnsi="Calibri"/>
          <w:sz w:val="19"/>
          <w:szCs w:val="19"/>
        </w:rPr>
        <w:t xml:space="preserve">Keep append-only per-track state, each change carrying its source message ID and timestamp.</w:t>
      </w:r>
    </w:p>
    <w:p>
      <w:pPr>
        <w:spacing w:after="30" w:line="234"/>
        <w:ind w:left="190" w:hanging="190"/>
      </w:pPr>
      <w:r>
        <w:rPr>
          <w:rFonts w:ascii="Calibri" w:cs="Calibri" w:eastAsia="Calibri" w:hAnsi="Calibri"/>
          <w:b/>
          <w:bCs/>
          <w:sz w:val="19"/>
          <w:szCs w:val="19"/>
        </w:rPr>
        <w:t xml:space="preserve">FR-6  </w:t>
      </w:r>
      <w:r>
        <w:rPr>
          <w:rFonts w:ascii="Calibri" w:cs="Calibri" w:eastAsia="Calibri" w:hAnsi="Calibri"/>
          <w:sz w:val="19"/>
          <w:szCs w:val="19"/>
        </w:rPr>
        <w:t xml:space="preserve">Measure working-day idle time per track against the threshold (4 days critical, nudge day 5). Payment terms don't start a stall clock.</w:t>
      </w:r>
    </w:p>
    <w:p>
      <w:pPr>
        <w:spacing w:after="30" w:line="234"/>
        <w:ind w:left="190" w:hanging="190"/>
      </w:pPr>
      <w:r>
        <w:rPr>
          <w:rFonts w:ascii="Calibri" w:cs="Calibri" w:eastAsia="Calibri" w:hAnsi="Calibri"/>
          <w:b/>
          <w:bCs/>
          <w:sz w:val="19"/>
          <w:szCs w:val="19"/>
        </w:rPr>
        <w:t xml:space="preserve">FR-7  </w:t>
      </w:r>
      <w:r>
        <w:rPr>
          <w:rFonts w:ascii="Calibri" w:cs="Calibri" w:eastAsia="Calibri" w:hAnsi="Calibri"/>
          <w:sz w:val="19"/>
          <w:szCs w:val="19"/>
        </w:rPr>
        <w:t xml:space="preserve">Diagnose each stall by lookup against the fixed taxonomy, returning cause, owner, next action.</w:t>
      </w:r>
    </w:p>
    <w:p>
      <w:pPr>
        <w:spacing w:after="30" w:line="234"/>
        <w:ind w:left="190" w:hanging="190"/>
      </w:pPr>
      <w:r>
        <w:rPr>
          <w:rFonts w:ascii="Calibri" w:cs="Calibri" w:eastAsia="Calibri" w:hAnsi="Calibri"/>
          <w:b/>
          <w:bCs/>
          <w:sz w:val="19"/>
          <w:szCs w:val="19"/>
        </w:rPr>
        <w:t xml:space="preserve">FR-8  </w:t>
      </w:r>
      <w:r>
        <w:rPr>
          <w:rFonts w:ascii="Calibri" w:cs="Calibri" w:eastAsia="Calibri" w:hAnsi="Calibri"/>
          <w:sz w:val="19"/>
          <w:szCs w:val="19"/>
        </w:rPr>
        <w:t xml:space="preserve">Publish one ranked digest per working day, every active PO, ordered critical, medium, no action.</w:t>
      </w:r>
    </w:p>
    <w:p>
      <w:pPr>
        <w:spacing w:after="30" w:line="234"/>
        <w:ind w:left="190" w:hanging="190"/>
      </w:pPr>
      <w:r>
        <w:rPr>
          <w:rFonts w:ascii="Calibri" w:cs="Calibri" w:eastAsia="Calibri" w:hAnsi="Calibri"/>
          <w:b/>
          <w:bCs/>
          <w:sz w:val="19"/>
          <w:szCs w:val="19"/>
        </w:rPr>
        <w:t xml:space="preserve">FR-9  </w:t>
      </w:r>
      <w:r>
        <w:rPr>
          <w:rFonts w:ascii="Calibri" w:cs="Calibri" w:eastAsia="Calibri" w:hAnsi="Calibri"/>
          <w:sz w:val="19"/>
          <w:szCs w:val="19"/>
        </w:rPr>
        <w:t xml:space="preserve">Above the confidence threshold, draft the reply into the existing thread and save to drafts. Below it, name the department and draft nothing. Nothing sends without a human. Meets the draft gate in the Eval Plan.</w:t>
      </w:r>
    </w:p>
    <w:p>
      <w:pPr>
        <w:spacing w:after="30" w:line="234"/>
        <w:ind w:left="190" w:hanging="190"/>
      </w:pPr>
      <w:r>
        <w:rPr>
          <w:rFonts w:ascii="Calibri" w:cs="Calibri" w:eastAsia="Calibri" w:hAnsi="Calibri"/>
          <w:b/>
          <w:bCs/>
          <w:sz w:val="19"/>
          <w:szCs w:val="19"/>
        </w:rPr>
        <w:t xml:space="preserve">FR-10  </w:t>
      </w:r>
      <w:r>
        <w:rPr>
          <w:rFonts w:ascii="Calibri" w:cs="Calibri" w:eastAsia="Calibri" w:hAnsi="Calibri"/>
          <w:sz w:val="19"/>
          <w:szCs w:val="19"/>
        </w:rPr>
        <w:t xml:space="preserve">Show one review queue for everything unresolved — failed validation, low confidence, count gaps — each with its age.</w:t>
      </w:r>
    </w:p>
    <w:p>
      <w:pPr>
        <w:spacing w:after="30" w:line="234"/>
        <w:ind w:left="190" w:hanging="190"/>
      </w:pPr>
      <w:r>
        <w:rPr>
          <w:rFonts w:ascii="Calibri" w:cs="Calibri" w:eastAsia="Calibri" w:hAnsi="Calibri"/>
          <w:b/>
          <w:bCs/>
          <w:sz w:val="19"/>
          <w:szCs w:val="19"/>
        </w:rPr>
        <w:t xml:space="preserve">FR-11  </w:t>
      </w:r>
      <w:r>
        <w:rPr>
          <w:rFonts w:ascii="Calibri" w:cs="Calibri" w:eastAsia="Calibri" w:hAnsi="Calibri"/>
          <w:sz w:val="19"/>
          <w:szCs w:val="19"/>
        </w:rPr>
        <w:t xml:space="preserve">Turn each human correction into a rule — an allowlist entry, a skip pattern, an alias — not a prompt change.</w:t>
      </w:r>
    </w:p>
    <w:p>
      <w:pPr>
        <w:spacing w:after="60" w:before="150"/>
      </w:pPr>
      <w:r>
        <w:rPr>
          <w:rFonts w:ascii="Calibri" w:cs="Calibri" w:eastAsia="Calibri" w:hAnsi="Calibri"/>
          <w:b/>
          <w:bCs/>
          <w:color w:val="1F3B5C"/>
          <w:sz w:val="20"/>
          <w:szCs w:val="20"/>
        </w:rPr>
        <w:t xml:space="preserve">9 · Failure modes and guardrails</w:t>
      </w:r>
    </w:p>
    <w:tbl>
      <w:tblPr>
        <w:tblW w:type="dxa" w:w="10420"/>
        <w:tblBorders>
          <w:top w:val="single" w:color="auto" w:sz="4"/>
          <w:left w:val="single" w:color="auto" w:sz="4"/>
          <w:bottom w:val="single" w:color="auto" w:sz="4"/>
          <w:right w:val="single" w:color="auto" w:sz="4"/>
          <w:insideH w:val="single" w:color="auto" w:sz="4"/>
          <w:insideV w:val="single" w:color="auto" w:sz="4"/>
        </w:tblBorders>
      </w:tblPr>
      <w:tblGrid>
        <w:gridCol w:w="2750"/>
        <w:gridCol w:w="2800"/>
        <w:gridCol w:w="2550"/>
        <w:gridCol w:w="2320"/>
      </w:tblGrid>
      <w:tr>
        <w:trPr>
          <w:tblHeader/>
        </w:trPr>
        <w:tc>
          <w:tcPr>
            <w:tcW w:type="dxa" w:w="2750"/>
            <w:tcBorders>
              <w:top w:val="single" w:color="D2D9E0" w:sz="2"/>
              <w:left w:val="none" w:color="FFFFFF" w:sz="0"/>
              <w:bottom w:val="single" w:color="D2D9E0" w:sz="2"/>
              <w:right w:val="none" w:color="FFFFFF" w:sz="0"/>
            </w:tcBorders>
            <w:shd w:fill="1F3B5C" w:val="clear"/>
            <w:tcMar>
              <w:top w:type="dxa" w:w="38"/>
              <w:left w:type="dxa" w:w="85"/>
              <w:bottom w:type="dxa" w:w="38"/>
              <w:right w:type="dxa" w:w="85"/>
            </w:tcMar>
          </w:tcPr>
          <w:p>
            <w:pPr>
              <w:spacing w:after="0" w:line="216"/>
            </w:pPr>
            <w:r>
              <w:rPr>
                <w:rFonts w:ascii="Calibri" w:cs="Calibri" w:eastAsia="Calibri" w:hAnsi="Calibri"/>
                <w:b/>
                <w:bCs/>
                <w:color w:val="FFFFFF"/>
                <w:sz w:val="16"/>
                <w:szCs w:val="16"/>
              </w:rPr>
              <w:t xml:space="preserve">Failure or trigger</w:t>
            </w:r>
          </w:p>
        </w:tc>
        <w:tc>
          <w:tcPr>
            <w:tcW w:type="dxa" w:w="2800"/>
            <w:tcBorders>
              <w:top w:val="single" w:color="D2D9E0" w:sz="2"/>
              <w:left w:val="none" w:color="FFFFFF" w:sz="0"/>
              <w:bottom w:val="single" w:color="D2D9E0" w:sz="2"/>
              <w:right w:val="none" w:color="FFFFFF" w:sz="0"/>
            </w:tcBorders>
            <w:shd w:fill="1F3B5C" w:val="clear"/>
            <w:tcMar>
              <w:top w:type="dxa" w:w="38"/>
              <w:left w:type="dxa" w:w="85"/>
              <w:bottom w:type="dxa" w:w="38"/>
              <w:right w:type="dxa" w:w="85"/>
            </w:tcMar>
          </w:tcPr>
          <w:p>
            <w:pPr>
              <w:spacing w:after="0" w:line="216"/>
            </w:pPr>
            <w:r>
              <w:rPr>
                <w:rFonts w:ascii="Calibri" w:cs="Calibri" w:eastAsia="Calibri" w:hAnsi="Calibri"/>
                <w:b/>
                <w:bCs/>
                <w:color w:val="FFFFFF"/>
                <w:sz w:val="16"/>
                <w:szCs w:val="16"/>
              </w:rPr>
              <w:t xml:space="preserve">Detection</w:t>
            </w:r>
          </w:p>
        </w:tc>
        <w:tc>
          <w:tcPr>
            <w:tcW w:type="dxa" w:w="2550"/>
            <w:tcBorders>
              <w:top w:val="single" w:color="D2D9E0" w:sz="2"/>
              <w:left w:val="none" w:color="FFFFFF" w:sz="0"/>
              <w:bottom w:val="single" w:color="D2D9E0" w:sz="2"/>
              <w:right w:val="none" w:color="FFFFFF" w:sz="0"/>
            </w:tcBorders>
            <w:shd w:fill="1F3B5C" w:val="clear"/>
            <w:tcMar>
              <w:top w:type="dxa" w:w="38"/>
              <w:left w:type="dxa" w:w="85"/>
              <w:bottom w:type="dxa" w:w="38"/>
              <w:right w:type="dxa" w:w="85"/>
            </w:tcMar>
          </w:tcPr>
          <w:p>
            <w:pPr>
              <w:spacing w:after="0" w:line="216"/>
            </w:pPr>
            <w:r>
              <w:rPr>
                <w:rFonts w:ascii="Calibri" w:cs="Calibri" w:eastAsia="Calibri" w:hAnsi="Calibri"/>
                <w:b/>
                <w:bCs/>
                <w:color w:val="FFFFFF"/>
                <w:sz w:val="16"/>
                <w:szCs w:val="16"/>
              </w:rPr>
              <w:t xml:space="preserve">Response</w:t>
            </w:r>
          </w:p>
        </w:tc>
        <w:tc>
          <w:tcPr>
            <w:tcW w:type="dxa" w:w="2320"/>
            <w:tcBorders>
              <w:top w:val="single" w:color="D2D9E0" w:sz="2"/>
              <w:left w:val="none" w:color="FFFFFF" w:sz="0"/>
              <w:bottom w:val="single" w:color="D2D9E0" w:sz="2"/>
              <w:right w:val="none" w:color="FFFFFF" w:sz="0"/>
            </w:tcBorders>
            <w:shd w:fill="1F3B5C" w:val="clear"/>
            <w:tcMar>
              <w:top w:type="dxa" w:w="38"/>
              <w:left w:type="dxa" w:w="85"/>
              <w:bottom w:type="dxa" w:w="38"/>
              <w:right w:type="dxa" w:w="85"/>
            </w:tcMar>
          </w:tcPr>
          <w:p>
            <w:pPr>
              <w:spacing w:after="0" w:line="216"/>
            </w:pPr>
            <w:r>
              <w:rPr>
                <w:rFonts w:ascii="Calibri" w:cs="Calibri" w:eastAsia="Calibri" w:hAnsi="Calibri"/>
                <w:b/>
                <w:bCs/>
                <w:color w:val="FFFFFF"/>
                <w:sz w:val="16"/>
                <w:szCs w:val="16"/>
              </w:rPr>
              <w:t xml:space="preserve">Fallback</w:t>
            </w:r>
          </w:p>
        </w:tc>
      </w:tr>
      <w:tr>
        <w:tc>
          <w:tcPr>
            <w:tcW w:type="dxa" w:w="27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bCs/>
                <w:color w:val="16202B"/>
                <w:sz w:val="17"/>
                <w:szCs w:val="17"/>
              </w:rPr>
              <w:t xml:space="preserve">Sender/PO/thread filter miss</w:t>
            </w:r>
          </w:p>
        </w:tc>
        <w:tc>
          <w:tcPr>
            <w:tcW w:type="dxa" w:w="280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16202B"/>
                <w:sz w:val="17"/>
                <w:szCs w:val="17"/>
              </w:rPr>
              <w:t xml:space="preserve">Pre-filter (FR-2)</w:t>
            </w:r>
          </w:p>
        </w:tc>
        <w:tc>
          <w:tcPr>
            <w:tcW w:type="dxa" w:w="25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16202B"/>
                <w:sz w:val="17"/>
                <w:szCs w:val="17"/>
              </w:rPr>
              <w:t xml:space="preserve">Discard with a logged reason</w:t>
            </w:r>
          </w:p>
        </w:tc>
        <w:tc>
          <w:tcPr>
            <w:tcW w:type="dxa" w:w="232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5A646E"/>
                <w:sz w:val="17"/>
                <w:szCs w:val="17"/>
              </w:rPr>
              <w:t xml:space="preserve">Weekly audit of the discard pile</w:t>
            </w:r>
          </w:p>
        </w:tc>
      </w:tr>
      <w:tr>
        <w:tc>
          <w:tcPr>
            <w:tcW w:type="dxa" w:w="27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bCs/>
                <w:color w:val="16202B"/>
                <w:sz w:val="17"/>
                <w:szCs w:val="17"/>
              </w:rPr>
              <w:t xml:space="preserve">Unquoted, low-confidence, mismatch, unknown sender</w:t>
            </w:r>
          </w:p>
        </w:tc>
        <w:tc>
          <w:tcPr>
            <w:tcW w:type="dxa" w:w="280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16202B"/>
                <w:sz w:val="17"/>
                <w:szCs w:val="17"/>
              </w:rPr>
              <w:t xml:space="preserve">Validation (FR-4)</w:t>
            </w:r>
          </w:p>
        </w:tc>
        <w:tc>
          <w:tcPr>
            <w:tcW w:type="dxa" w:w="25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16202B"/>
                <w:sz w:val="17"/>
                <w:szCs w:val="17"/>
              </w:rPr>
              <w:t xml:space="preserve">Reject before state, route to review</w:t>
            </w:r>
          </w:p>
        </w:tc>
        <w:tc>
          <w:tcPr>
            <w:tcW w:type="dxa" w:w="232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5A646E"/>
                <w:sz w:val="17"/>
                <w:szCs w:val="17"/>
              </w:rPr>
              <w:t xml:space="preserve">Prior state kept</w:t>
            </w:r>
          </w:p>
        </w:tc>
      </w:tr>
      <w:tr>
        <w:tc>
          <w:tcPr>
            <w:tcW w:type="dxa" w:w="27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bCs/>
                <w:color w:val="16202B"/>
                <w:sz w:val="17"/>
                <w:szCs w:val="17"/>
              </w:rPr>
              <w:t xml:space="preserve">Wrong track, or right track wrong PO</w:t>
            </w:r>
          </w:p>
        </w:tc>
        <w:tc>
          <w:tcPr>
            <w:tcW w:type="dxa" w:w="280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16202B"/>
                <w:sz w:val="17"/>
                <w:szCs w:val="17"/>
              </w:rPr>
              <w:t xml:space="preserve">Golden set, PO + sender check</w:t>
            </w:r>
          </w:p>
        </w:tc>
        <w:tc>
          <w:tcPr>
            <w:tcW w:type="dxa" w:w="25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16202B"/>
                <w:sz w:val="17"/>
                <w:szCs w:val="17"/>
              </w:rPr>
              <w:t xml:space="preserve">Reject or route to review</w:t>
            </w:r>
          </w:p>
        </w:tc>
        <w:tc>
          <w:tcPr>
            <w:tcW w:type="dxa" w:w="232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5A646E"/>
                <w:sz w:val="17"/>
                <w:szCs w:val="17"/>
              </w:rPr>
              <w:t xml:space="preserve">Prior state kept</w:t>
            </w:r>
          </w:p>
        </w:tc>
      </w:tr>
      <w:tr>
        <w:tc>
          <w:tcPr>
            <w:tcW w:type="dxa" w:w="27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bCs/>
                <w:color w:val="16202B"/>
                <w:sz w:val="17"/>
                <w:szCs w:val="17"/>
              </w:rPr>
              <w:t xml:space="preserve">Read from quoted history</w:t>
            </w:r>
          </w:p>
        </w:tc>
        <w:tc>
          <w:tcPr>
            <w:tcW w:type="dxa" w:w="280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16202B"/>
                <w:sz w:val="17"/>
                <w:szCs w:val="17"/>
              </w:rPr>
              <w:t xml:space="preserve">Span must match the new message</w:t>
            </w:r>
          </w:p>
        </w:tc>
        <w:tc>
          <w:tcPr>
            <w:tcW w:type="dxa" w:w="25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16202B"/>
                <w:sz w:val="17"/>
                <w:szCs w:val="17"/>
              </w:rPr>
              <w:t xml:space="preserve">Reject before state</w:t>
            </w:r>
          </w:p>
        </w:tc>
        <w:tc>
          <w:tcPr>
            <w:tcW w:type="dxa" w:w="232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5A646E"/>
                <w:sz w:val="17"/>
                <w:szCs w:val="17"/>
              </w:rPr>
              <w:t xml:space="preserve">Prior state kept</w:t>
            </w:r>
          </w:p>
        </w:tc>
      </w:tr>
      <w:tr>
        <w:tc>
          <w:tcPr>
            <w:tcW w:type="dxa" w:w="27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bCs/>
                <w:color w:val="16202B"/>
                <w:sz w:val="17"/>
                <w:szCs w:val="17"/>
              </w:rPr>
              <w:t xml:space="preserve">Draft cites stale state</w:t>
            </w:r>
          </w:p>
        </w:tc>
        <w:tc>
          <w:tcPr>
            <w:tcW w:type="dxa" w:w="280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16202B"/>
                <w:sz w:val="17"/>
                <w:szCs w:val="17"/>
              </w:rPr>
              <w:t xml:space="preserve">Draft checked vs source rows</w:t>
            </w:r>
          </w:p>
        </w:tc>
        <w:tc>
          <w:tcPr>
            <w:tcW w:type="dxa" w:w="25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16202B"/>
                <w:sz w:val="17"/>
                <w:szCs w:val="17"/>
              </w:rPr>
              <w:t xml:space="preserve">Block draft, flag PO</w:t>
            </w:r>
          </w:p>
        </w:tc>
        <w:tc>
          <w:tcPr>
            <w:tcW w:type="dxa" w:w="232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5A646E"/>
                <w:sz w:val="17"/>
                <w:szCs w:val="17"/>
              </w:rPr>
              <w:t xml:space="preserve">Draft stays unsent</w:t>
            </w:r>
          </w:p>
        </w:tc>
      </w:tr>
      <w:tr>
        <w:tc>
          <w:tcPr>
            <w:tcW w:type="dxa" w:w="27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bCs/>
                <w:color w:val="16202B"/>
                <w:sz w:val="17"/>
                <w:szCs w:val="17"/>
              </w:rPr>
              <w:t xml:space="preserve">Silent drop</w:t>
            </w:r>
          </w:p>
        </w:tc>
        <w:tc>
          <w:tcPr>
            <w:tcW w:type="dxa" w:w="280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16202B"/>
                <w:sz w:val="17"/>
                <w:szCs w:val="17"/>
              </w:rPr>
              <w:t xml:space="preserve">Count reconciliation, audit</w:t>
            </w:r>
          </w:p>
        </w:tc>
        <w:tc>
          <w:tcPr>
            <w:tcW w:type="dxa" w:w="25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16202B"/>
                <w:sz w:val="17"/>
                <w:szCs w:val="17"/>
              </w:rPr>
              <w:t xml:space="preserve">Run marked failed</w:t>
            </w:r>
          </w:p>
        </w:tc>
        <w:tc>
          <w:tcPr>
            <w:tcW w:type="dxa" w:w="232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5A646E"/>
                <w:sz w:val="17"/>
                <w:szCs w:val="17"/>
              </w:rPr>
              <w:t xml:space="preserve">Digest posts with a warning</w:t>
            </w:r>
          </w:p>
        </w:tc>
      </w:tr>
      <w:tr>
        <w:tc>
          <w:tcPr>
            <w:tcW w:type="dxa" w:w="27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bCs/>
                <w:color w:val="16202B"/>
                <w:sz w:val="17"/>
                <w:szCs w:val="17"/>
              </w:rPr>
              <w:t xml:space="preserve">Any send or ERP write</w:t>
            </w:r>
          </w:p>
        </w:tc>
        <w:tc>
          <w:tcPr>
            <w:tcW w:type="dxa" w:w="280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16202B"/>
                <w:sz w:val="17"/>
                <w:szCs w:val="17"/>
              </w:rPr>
              <w:t xml:space="preserve">Action boundary</w:t>
            </w:r>
          </w:p>
        </w:tc>
        <w:tc>
          <w:tcPr>
            <w:tcW w:type="dxa" w:w="25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16202B"/>
                <w:sz w:val="17"/>
                <w:szCs w:val="17"/>
              </w:rPr>
              <w:t xml:space="preserve">Blocked — draft only</w:t>
            </w:r>
          </w:p>
        </w:tc>
        <w:tc>
          <w:tcPr>
            <w:tcW w:type="dxa" w:w="232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5A646E"/>
                <w:sz w:val="17"/>
                <w:szCs w:val="17"/>
              </w:rPr>
              <w:t xml:space="preserve">PO stays open</w:t>
            </w:r>
          </w:p>
        </w:tc>
      </w:tr>
    </w:tbl>
    <w:p>
      <w:pPr>
        <w:spacing w:after="80" w:before="80" w:line="242"/>
      </w:pPr>
      <w:r>
        <w:rPr>
          <w:rFonts w:ascii="Calibri" w:cs="Calibri" w:eastAsia="Calibri" w:hAnsi="Calibri"/>
          <w:color w:val="16202B"/>
          <w:sz w:val="18"/>
          <w:szCs w:val="18"/>
        </w:rPr>
        <w:t xml:space="preserve">Batch job — no live-latency target. Completes before 07:00 local, under 15 minutes for 200 POs. Requirements name a capability profile — reliable instruction-following, structured output — not a model, so it survives a model or vendor change. Inbound content is treated as data, never instruction.</w:t>
      </w:r>
    </w:p>
    <w:p>
      <w:pPr>
        <w:spacing w:after="60" w:before="150"/>
      </w:pPr>
      <w:r>
        <w:rPr>
          <w:rFonts w:ascii="Calibri" w:cs="Calibri" w:eastAsia="Calibri" w:hAnsi="Calibri"/>
          <w:b/>
          <w:bCs/>
          <w:color w:val="1F3B5C"/>
          <w:sz w:val="20"/>
          <w:szCs w:val="20"/>
        </w:rPr>
        <w:t xml:space="preserve">10 · Success metrics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400"/>
        <w:gridCol w:w="2850"/>
        <w:gridCol w:w="2350"/>
        <w:gridCol w:w="1900"/>
      </w:tblGrid>
      <w:tr>
        <w:trPr>
          <w:tblHeader/>
        </w:trPr>
        <w:tc>
          <w:tcPr>
            <w:tcW w:type="dxa" w:w="3400"/>
            <w:tcBorders>
              <w:top w:val="single" w:color="D2D9E0" w:sz="2"/>
              <w:left w:val="none" w:color="FFFFFF" w:sz="0"/>
              <w:bottom w:val="single" w:color="D2D9E0" w:sz="2"/>
              <w:right w:val="none" w:color="FFFFFF" w:sz="0"/>
            </w:tcBorders>
            <w:shd w:fill="1F3B5C" w:val="clear"/>
            <w:tcMar>
              <w:top w:type="dxa" w:w="38"/>
              <w:left w:type="dxa" w:w="85"/>
              <w:bottom w:type="dxa" w:w="38"/>
              <w:right w:type="dxa" w:w="85"/>
            </w:tcMar>
          </w:tcPr>
          <w:p>
            <w:pPr>
              <w:spacing w:after="0" w:line="216"/>
            </w:pPr>
            <w:r>
              <w:rPr>
                <w:rFonts w:ascii="Calibri" w:cs="Calibri" w:eastAsia="Calibri" w:hAnsi="Calibri"/>
                <w:b/>
                <w:bCs/>
                <w:color w:val="FFFFFF"/>
                <w:sz w:val="16"/>
                <w:szCs w:val="16"/>
              </w:rPr>
              <w:t xml:space="preserve">Metric</w:t>
            </w:r>
          </w:p>
        </w:tc>
        <w:tc>
          <w:tcPr>
            <w:tcW w:type="dxa" w:w="2850"/>
            <w:tcBorders>
              <w:top w:val="single" w:color="D2D9E0" w:sz="2"/>
              <w:left w:val="none" w:color="FFFFFF" w:sz="0"/>
              <w:bottom w:val="single" w:color="D2D9E0" w:sz="2"/>
              <w:right w:val="none" w:color="FFFFFF" w:sz="0"/>
            </w:tcBorders>
            <w:shd w:fill="1F3B5C" w:val="clear"/>
            <w:tcMar>
              <w:top w:type="dxa" w:w="38"/>
              <w:left w:type="dxa" w:w="85"/>
              <w:bottom w:type="dxa" w:w="38"/>
              <w:right w:type="dxa" w:w="85"/>
            </w:tcMar>
          </w:tcPr>
          <w:p>
            <w:pPr>
              <w:spacing w:after="0" w:line="216"/>
            </w:pPr>
            <w:r>
              <w:rPr>
                <w:rFonts w:ascii="Calibri" w:cs="Calibri" w:eastAsia="Calibri" w:hAnsi="Calibri"/>
                <w:b/>
                <w:bCs/>
                <w:color w:val="FFFFFF"/>
                <w:sz w:val="16"/>
                <w:szCs w:val="16"/>
              </w:rPr>
              <w:t xml:space="preserve">Baseline</w:t>
            </w:r>
          </w:p>
        </w:tc>
        <w:tc>
          <w:tcPr>
            <w:tcW w:type="dxa" w:w="2350"/>
            <w:tcBorders>
              <w:top w:val="single" w:color="D2D9E0" w:sz="2"/>
              <w:left w:val="none" w:color="FFFFFF" w:sz="0"/>
              <w:bottom w:val="single" w:color="D2D9E0" w:sz="2"/>
              <w:right w:val="none" w:color="FFFFFF" w:sz="0"/>
            </w:tcBorders>
            <w:shd w:fill="1F3B5C" w:val="clear"/>
            <w:tcMar>
              <w:top w:type="dxa" w:w="38"/>
              <w:left w:type="dxa" w:w="85"/>
              <w:bottom w:type="dxa" w:w="38"/>
              <w:right w:type="dxa" w:w="85"/>
            </w:tcMar>
          </w:tcPr>
          <w:p>
            <w:pPr>
              <w:spacing w:after="0" w:line="216"/>
            </w:pPr>
            <w:r>
              <w:rPr>
                <w:rFonts w:ascii="Calibri" w:cs="Calibri" w:eastAsia="Calibri" w:hAnsi="Calibri"/>
                <w:b/>
                <w:bCs/>
                <w:color w:val="FFFFFF"/>
                <w:sz w:val="16"/>
                <w:szCs w:val="16"/>
              </w:rPr>
              <w:t xml:space="preserve">Ship</w:t>
            </w:r>
          </w:p>
        </w:tc>
        <w:tc>
          <w:tcPr>
            <w:tcW w:type="dxa" w:w="1900"/>
            <w:tcBorders>
              <w:top w:val="single" w:color="D2D9E0" w:sz="2"/>
              <w:left w:val="none" w:color="FFFFFF" w:sz="0"/>
              <w:bottom w:val="single" w:color="D2D9E0" w:sz="2"/>
              <w:right w:val="none" w:color="FFFFFF" w:sz="0"/>
            </w:tcBorders>
            <w:shd w:fill="1F3B5C" w:val="clear"/>
            <w:tcMar>
              <w:top w:type="dxa" w:w="38"/>
              <w:left w:type="dxa" w:w="85"/>
              <w:bottom w:type="dxa" w:w="38"/>
              <w:right w:type="dxa" w:w="85"/>
            </w:tcMar>
          </w:tcPr>
          <w:p>
            <w:pPr>
              <w:spacing w:after="0" w:line="216"/>
            </w:pPr>
            <w:r>
              <w:rPr>
                <w:rFonts w:ascii="Calibri" w:cs="Calibri" w:eastAsia="Calibri" w:hAnsi="Calibri"/>
                <w:b/>
                <w:bCs/>
                <w:color w:val="FFFFFF"/>
                <w:sz w:val="16"/>
                <w:szCs w:val="16"/>
              </w:rPr>
              <w:t xml:space="preserve">Target, 60 days</w:t>
            </w:r>
          </w:p>
        </w:tc>
      </w:tr>
      <w:tr>
        <w:tc>
          <w:tcPr>
            <w:tcW w:type="dxa" w:w="340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bCs/>
                <w:color w:val="16202B"/>
                <w:sz w:val="17"/>
                <w:szCs w:val="17"/>
              </w:rPr>
              <w:t xml:space="preserve">Median time-to-detect a stall</w:t>
            </w:r>
          </w:p>
        </w:tc>
        <w:tc>
          <w:tcPr>
            <w:tcW w:type="dxa" w:w="28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16202B"/>
                <w:sz w:val="17"/>
                <w:szCs w:val="17"/>
              </w:rPr>
              <w:t xml:space="preserve">Unmeasured</w:t>
            </w:r>
          </w:p>
        </w:tc>
        <w:tc>
          <w:tcPr>
            <w:tcW w:type="dxa" w:w="23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16202B"/>
                <w:sz w:val="17"/>
                <w:szCs w:val="17"/>
              </w:rPr>
              <w:t xml:space="preserve">Under 1 working day</w:t>
            </w:r>
          </w:p>
        </w:tc>
        <w:tc>
          <w:tcPr>
            <w:tcW w:type="dxa" w:w="190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16202B"/>
                <w:sz w:val="17"/>
                <w:szCs w:val="17"/>
              </w:rPr>
              <w:t xml:space="preserve">Under 4 working hours</w:t>
            </w:r>
          </w:p>
        </w:tc>
      </w:tr>
      <w:tr>
        <w:tc>
          <w:tcPr>
            <w:tcW w:type="dxa" w:w="340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bCs/>
                <w:color w:val="16202B"/>
                <w:sz w:val="17"/>
                <w:szCs w:val="17"/>
              </w:rPr>
              <w:t xml:space="preserve">Time on morning inbox review</w:t>
            </w:r>
          </w:p>
        </w:tc>
        <w:tc>
          <w:tcPr>
            <w:tcW w:type="dxa" w:w="28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16202B"/>
                <w:sz w:val="17"/>
                <w:szCs w:val="17"/>
              </w:rPr>
              <w:t xml:space="preserve">5–6 hrs/week</w:t>
            </w:r>
          </w:p>
        </w:tc>
        <w:tc>
          <w:tcPr>
            <w:tcW w:type="dxa" w:w="23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16202B"/>
                <w:sz w:val="17"/>
                <w:szCs w:val="17"/>
              </w:rPr>
              <w:t xml:space="preserve">Replaced for one GSM</w:t>
            </w:r>
          </w:p>
        </w:tc>
        <w:tc>
          <w:tcPr>
            <w:tcW w:type="dxa" w:w="190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16202B"/>
                <w:sz w:val="17"/>
                <w:szCs w:val="17"/>
              </w:rPr>
              <w:t xml:space="preserve">Eliminated, not added to</w:t>
            </w:r>
          </w:p>
        </w:tc>
      </w:tr>
      <w:tr>
        <w:tc>
          <w:tcPr>
            <w:tcW w:type="dxa" w:w="340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bCs/>
                <w:color w:val="16202B"/>
                <w:sz w:val="17"/>
                <w:szCs w:val="17"/>
              </w:rPr>
              <w:t xml:space="preserve">Missed-stall rate (discard audit)</w:t>
            </w:r>
          </w:p>
        </w:tc>
        <w:tc>
          <w:tcPr>
            <w:tcW w:type="dxa" w:w="28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16202B"/>
                <w:sz w:val="17"/>
                <w:szCs w:val="17"/>
              </w:rPr>
              <w:t xml:space="preserve">Unmeasured</w:t>
            </w:r>
          </w:p>
        </w:tc>
        <w:tc>
          <w:tcPr>
            <w:tcW w:type="dxa" w:w="23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16202B"/>
                <w:sz w:val="17"/>
                <w:szCs w:val="17"/>
              </w:rPr>
              <w:t xml:space="preserve">Under 2%</w:t>
            </w:r>
          </w:p>
        </w:tc>
        <w:tc>
          <w:tcPr>
            <w:tcW w:type="dxa" w:w="190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16202B"/>
                <w:sz w:val="17"/>
                <w:szCs w:val="17"/>
              </w:rPr>
              <w:t xml:space="preserve">Under 1%</w:t>
            </w:r>
          </w:p>
        </w:tc>
      </w:tr>
    </w:tbl>
    <w:p>
      <w:pPr>
        <w:spacing w:after="80" w:before="70" w:line="242"/>
      </w:pPr>
      <w:r>
        <w:rPr>
          <w:rFonts w:ascii="Calibri" w:cs="Calibri" w:eastAsia="Calibri" w:hAnsi="Calibri"/>
          <w:color w:val="5A646E"/>
          <w:sz w:val="18"/>
          <w:szCs w:val="18"/>
        </w:rPr>
        <w:t xml:space="preserve">The real test: if the GSM reads the digest and still opens their inbox, the value is zero. Replacement of the morning review — not addition to it — is the success bar. (Model-quality metrics live in the Eval Plan.)</w:t>
      </w:r>
    </w:p>
    <w:p>
      <w:pPr>
        <w:spacing w:after="60" w:before="150"/>
      </w:pPr>
      <w:r>
        <w:rPr>
          <w:rFonts w:ascii="Calibri" w:cs="Calibri" w:eastAsia="Calibri" w:hAnsi="Calibri"/>
          <w:b/>
          <w:bCs/>
          <w:color w:val="1F3B5C"/>
          <w:sz w:val="20"/>
          <w:szCs w:val="20"/>
        </w:rPr>
        <w:t xml:space="preserve">11 · Definition of done</w:t>
      </w:r>
    </w:p>
    <w:p>
      <w:pPr>
        <w:spacing w:after="80" w:before="0" w:line="242"/>
      </w:pPr>
      <w:r>
        <w:rPr>
          <w:rFonts w:ascii="Calibri" w:cs="Calibri" w:eastAsia="Calibri" w:hAnsi="Calibri"/>
          <w:color w:val="16202B"/>
          <w:sz w:val="19"/>
          <w:szCs w:val="19"/>
        </w:rPr>
        <w:t xml:space="preserve">Engineering done and product done differ for a probabilistic system. Done means all three: the evals pass their gates, count reconciliation is clean across five runs, and the pilot GSM has reviewed a full batch and signed off. Until then the system stays recommend-only and writes nothing.</w:t>
      </w:r>
    </w:p>
    <w:p>
      <w:pPr>
        <w:spacing w:after="60" w:before="150"/>
      </w:pPr>
      <w:r>
        <w:rPr>
          <w:rFonts w:ascii="Calibri" w:cs="Calibri" w:eastAsia="Calibri" w:hAnsi="Calibri"/>
          <w:b/>
          <w:bCs/>
          <w:color w:val="1F3B5C"/>
          <w:sz w:val="20"/>
          <w:szCs w:val="20"/>
        </w:rPr>
        <w:t xml:space="preserve">12 · Key risks and open questions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150"/>
        <w:gridCol w:w="5250"/>
      </w:tblGrid>
      <w:tr>
        <w:trPr>
          <w:tblHeader/>
        </w:trPr>
        <w:tc>
          <w:tcPr>
            <w:tcW w:type="dxa" w:w="5150"/>
            <w:tcBorders>
              <w:top w:val="single" w:color="D2D9E0" w:sz="2"/>
              <w:left w:val="none" w:color="FFFFFF" w:sz="0"/>
              <w:bottom w:val="single" w:color="D2D9E0" w:sz="2"/>
              <w:right w:val="none" w:color="FFFFFF" w:sz="0"/>
            </w:tcBorders>
            <w:shd w:fill="1F3B5C" w:val="clear"/>
            <w:tcMar>
              <w:top w:type="dxa" w:w="38"/>
              <w:left w:type="dxa" w:w="85"/>
              <w:bottom w:type="dxa" w:w="38"/>
              <w:right w:type="dxa" w:w="85"/>
            </w:tcMar>
          </w:tcPr>
          <w:p>
            <w:pPr>
              <w:spacing w:after="0" w:line="216"/>
            </w:pPr>
            <w:r>
              <w:rPr>
                <w:rFonts w:ascii="Calibri" w:cs="Calibri" w:eastAsia="Calibri" w:hAnsi="Calibri"/>
                <w:b/>
                <w:bCs/>
                <w:color w:val="FFFFFF"/>
                <w:sz w:val="16"/>
                <w:szCs w:val="16"/>
              </w:rPr>
              <w:t xml:space="preserve">Risk / question</w:t>
            </w:r>
          </w:p>
        </w:tc>
        <w:tc>
          <w:tcPr>
            <w:tcW w:type="dxa" w:w="5250"/>
            <w:tcBorders>
              <w:top w:val="single" w:color="D2D9E0" w:sz="2"/>
              <w:left w:val="none" w:color="FFFFFF" w:sz="0"/>
              <w:bottom w:val="single" w:color="D2D9E0" w:sz="2"/>
              <w:right w:val="none" w:color="FFFFFF" w:sz="0"/>
            </w:tcBorders>
            <w:shd w:fill="1F3B5C" w:val="clear"/>
            <w:tcMar>
              <w:top w:type="dxa" w:w="38"/>
              <w:left w:type="dxa" w:w="85"/>
              <w:bottom w:type="dxa" w:w="38"/>
              <w:right w:type="dxa" w:w="85"/>
            </w:tcMar>
          </w:tcPr>
          <w:p>
            <w:pPr>
              <w:spacing w:after="0" w:line="216"/>
            </w:pPr>
            <w:r>
              <w:rPr>
                <w:rFonts w:ascii="Calibri" w:cs="Calibri" w:eastAsia="Calibri" w:hAnsi="Calibri"/>
                <w:b/>
                <w:bCs/>
                <w:color w:val="FFFFFF"/>
                <w:sz w:val="16"/>
                <w:szCs w:val="16"/>
              </w:rPr>
              <w:t xml:space="preserve">Mitigation / owner</w:t>
            </w:r>
          </w:p>
        </w:tc>
      </w:tr>
      <w:tr>
        <w:tc>
          <w:tcPr>
            <w:tcW w:type="dxa" w:w="51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color w:val="16202B"/>
                <w:sz w:val="17"/>
                <w:szCs w:val="17"/>
              </w:rPr>
              <w:t xml:space="preserve">Status is inferred, not read — a wrong status could be repeated in a meeting.</w:t>
            </w:r>
          </w:p>
        </w:tc>
        <w:tc>
          <w:tcPr>
            <w:tcW w:type="dxa" w:w="52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16202B"/>
                <w:sz w:val="17"/>
                <w:szCs w:val="17"/>
              </w:rPr>
              <w:t xml:space="preserve">Every status carries its source and time; stale ones marked unconfirmed. Residual: last known signal, not ground truth.</w:t>
            </w:r>
          </w:p>
        </w:tc>
      </w:tr>
      <w:tr>
        <w:tc>
          <w:tcPr>
            <w:tcW w:type="dxa" w:w="51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color w:val="16202B"/>
                <w:sz w:val="17"/>
                <w:szCs w:val="17"/>
              </w:rPr>
              <w:t xml:space="preserve">It adds to the morning ritual instead of replacing it.</w:t>
            </w:r>
          </w:p>
        </w:tc>
        <w:tc>
          <w:tcPr>
            <w:tcW w:type="dxa" w:w="52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16202B"/>
                <w:sz w:val="17"/>
                <w:szCs w:val="17"/>
              </w:rPr>
              <w:t xml:space="preserve">Replacement is the pilot success test, measured directly.</w:t>
            </w:r>
          </w:p>
        </w:tc>
      </w:tr>
      <w:tr>
        <w:tc>
          <w:tcPr>
            <w:tcW w:type="dxa" w:w="51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color w:val="16202B"/>
                <w:sz w:val="17"/>
                <w:szCs w:val="17"/>
              </w:rPr>
              <w:t xml:space="preserve">False negatives are invisible — a dropped message disappears until something breaks.</w:t>
            </w:r>
          </w:p>
        </w:tc>
        <w:tc>
          <w:tcPr>
            <w:tcW w:type="dxa" w:w="52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16202B"/>
                <w:sz w:val="17"/>
                <w:szCs w:val="17"/>
              </w:rPr>
              <w:t xml:space="preserve">Count reconciliation, skip-with-reason logging, weekly discard audit.</w:t>
            </w:r>
          </w:p>
        </w:tc>
      </w:tr>
      <w:tr>
        <w:tc>
          <w:tcPr>
            <w:tcW w:type="dxa" w:w="51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color w:val="16202B"/>
                <w:sz w:val="17"/>
                <w:szCs w:val="17"/>
              </w:rPr>
              <w:t xml:space="preserve">Prompt injection via external mail.</w:t>
            </w:r>
          </w:p>
        </w:tc>
        <w:tc>
          <w:tcPr>
            <w:tcW w:type="dxa" w:w="52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16202B"/>
                <w:sz w:val="17"/>
                <w:szCs w:val="17"/>
              </w:rPr>
              <w:t xml:space="preserve">Inbound is data, never instruction; validation caps the blast radius; adversarial cases in the eval set.</w:t>
            </w:r>
          </w:p>
        </w:tc>
      </w:tr>
      <w:tr>
        <w:tc>
          <w:tcPr>
            <w:tcW w:type="dxa" w:w="51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color w:val="16202B"/>
                <w:sz w:val="17"/>
                <w:szCs w:val="17"/>
              </w:rPr>
              <w:t xml:space="preserve">Chat or mail as the main surface? If mail wins, the digest becomes an email.</w:t>
            </w:r>
          </w:p>
        </w:tc>
        <w:tc>
          <w:tcPr>
            <w:tcW w:type="dxa" w:w="52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16202B"/>
                <w:sz w:val="17"/>
                <w:szCs w:val="17"/>
              </w:rPr>
              <w:t xml:space="preserve">Open — owner: user research.</w:t>
            </w:r>
          </w:p>
        </w:tc>
      </w:tr>
      <w:tr>
        <w:tc>
          <w:tcPr>
            <w:tcW w:type="dxa" w:w="51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color w:val="16202B"/>
                <w:sz w:val="17"/>
                <w:szCs w:val="17"/>
              </w:rPr>
              <w:t xml:space="preserve">Per-track idle thresholds beyond the single MVP value.</w:t>
            </w:r>
          </w:p>
        </w:tc>
        <w:tc>
          <w:tcPr>
            <w:tcW w:type="dxa" w:w="5250"/>
            <w:tcBorders>
              <w:top w:val="single" w:color="D2D9E0" w:sz="2"/>
              <w:left w:val="none" w:color="FFFFFF" w:sz="0"/>
              <w:bottom w:val="single" w:color="D2D9E0" w:sz="2"/>
              <w:right w:val="none" w:color="FFFFFF" w:sz="0"/>
            </w:tcBorders>
            <w:tcMar>
              <w:top w:type="dxa" w:w="38"/>
              <w:left w:type="dxa" w:w="85"/>
              <w:bottom w:type="dxa" w:w="38"/>
              <w:right w:type="dxa" w:w="85"/>
            </w:tcMar>
          </w:tcPr>
          <w:p>
            <w:pPr>
              <w:spacing w:after="0" w:line="216"/>
            </w:pPr>
            <w:r>
              <w:rPr>
                <w:rFonts w:ascii="Calibri" w:cs="Calibri" w:eastAsia="Calibri" w:hAnsi="Calibri"/>
                <w:b w:val="false"/>
                <w:bCs w:val="false"/>
                <w:color w:val="16202B"/>
                <w:sz w:val="17"/>
                <w:szCs w:val="17"/>
              </w:rPr>
              <w:t xml:space="preserve">Open — calibrated in the pilot; owner: PM.</w:t>
            </w:r>
          </w:p>
        </w:tc>
      </w:tr>
    </w:tbl>
    <w:sectPr>
      <w:pgSz w:w="12240" w:h="15840" w:orient="portrait"/>
      <w:pgMar w:top="620" w:right="860" w:bottom="56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2026-07-22T05:32:24.973Z</dcterms:created>
  <dcterms:modified xsi:type="dcterms:W3CDTF">2026-07-22T05:32:24.984Z</dcterms:modified>
</cp:coreProperties>
</file>

<file path=docProps/custom.xml><?xml version="1.0" encoding="utf-8"?>
<Properties xmlns="http://schemas.openxmlformats.org/officeDocument/2006/custom-properties" xmlns:vt="http://schemas.openxmlformats.org/officeDocument/2006/docPropsVTypes"/>
</file>