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2052" w14:textId="108C9240" w:rsidR="00971E2A" w:rsidRDefault="00971E2A" w:rsidP="002D4342">
      <w:pPr>
        <w:rPr>
          <w:b/>
          <w:bCs/>
        </w:rPr>
      </w:pPr>
      <w:r w:rsidRPr="00971E2A">
        <w:rPr>
          <w:b/>
          <w:bCs/>
        </w:rPr>
        <w:t>Experiment 1: Demand-Weighted Investment Proxy</w:t>
      </w:r>
    </w:p>
    <w:p w14:paraId="34B361DD" w14:textId="0E644487" w:rsidR="003113C2" w:rsidRDefault="003113C2" w:rsidP="002D4342">
      <w:pPr>
        <w:rPr>
          <w:b/>
          <w:bCs/>
        </w:rPr>
      </w:pPr>
      <w:r>
        <w:rPr>
          <w:b/>
          <w:bCs/>
        </w:rPr>
        <w:t xml:space="preserve">Description: </w:t>
      </w:r>
    </w:p>
    <w:p w14:paraId="33BB62F6" w14:textId="77777777" w:rsidR="003113C2" w:rsidRPr="003113C2" w:rsidRDefault="003113C2" w:rsidP="003113C2">
      <w:r w:rsidRPr="003113C2">
        <w:t>This experiment focused on evaluating power system adequacy by analyzing real-time electricity demand in conjunction with generator capability data. The central metric derived was the Reserve Margin, a critical indicator that reflects whether available supply exceeds demand at any given time.</w:t>
      </w:r>
    </w:p>
    <w:p w14:paraId="68195CD5" w14:textId="6171FAE1" w:rsidR="003113C2" w:rsidRPr="003113C2" w:rsidRDefault="003113C2" w:rsidP="002D4342">
      <w:r w:rsidRPr="003113C2">
        <w:t>By merging heterogeneous data sources (CSV for zonal demand and Excel for generator capability), the experiment enabled the computation and visualization of reserve margins across time — providing a data-driven view into the grid’s ability to meet peak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6840"/>
      </w:tblGrid>
      <w:tr w:rsidR="003113C2" w:rsidRPr="003113C2" w14:paraId="2F2EE031" w14:textId="77777777" w:rsidTr="003113C2">
        <w:trPr>
          <w:tblHeader/>
          <w:tblCellSpacing w:w="15" w:type="dxa"/>
        </w:trPr>
        <w:tc>
          <w:tcPr>
            <w:tcW w:w="0" w:type="auto"/>
            <w:vAlign w:val="center"/>
            <w:hideMark/>
          </w:tcPr>
          <w:p w14:paraId="1D2C529E" w14:textId="77777777" w:rsidR="003113C2" w:rsidRPr="003113C2" w:rsidRDefault="003113C2" w:rsidP="003113C2">
            <w:pPr>
              <w:rPr>
                <w:b/>
                <w:bCs/>
              </w:rPr>
            </w:pPr>
            <w:r w:rsidRPr="003113C2">
              <w:rPr>
                <w:b/>
                <w:bCs/>
              </w:rPr>
              <w:t>Challenge</w:t>
            </w:r>
          </w:p>
        </w:tc>
        <w:tc>
          <w:tcPr>
            <w:tcW w:w="0" w:type="auto"/>
            <w:vAlign w:val="center"/>
            <w:hideMark/>
          </w:tcPr>
          <w:p w14:paraId="486A403B" w14:textId="77777777" w:rsidR="003113C2" w:rsidRPr="003113C2" w:rsidRDefault="003113C2" w:rsidP="003113C2">
            <w:pPr>
              <w:rPr>
                <w:b/>
                <w:bCs/>
              </w:rPr>
            </w:pPr>
            <w:r w:rsidRPr="003113C2">
              <w:rPr>
                <w:b/>
                <w:bCs/>
              </w:rPr>
              <w:t>Mitigation</w:t>
            </w:r>
          </w:p>
        </w:tc>
      </w:tr>
      <w:tr w:rsidR="003113C2" w:rsidRPr="003113C2" w14:paraId="235133BD" w14:textId="77777777" w:rsidTr="003113C2">
        <w:trPr>
          <w:tblCellSpacing w:w="15" w:type="dxa"/>
        </w:trPr>
        <w:tc>
          <w:tcPr>
            <w:tcW w:w="0" w:type="auto"/>
            <w:vAlign w:val="center"/>
            <w:hideMark/>
          </w:tcPr>
          <w:p w14:paraId="345B7997" w14:textId="77777777" w:rsidR="003113C2" w:rsidRPr="003113C2" w:rsidRDefault="003113C2" w:rsidP="003113C2">
            <w:r w:rsidRPr="003113C2">
              <w:t>Inconsistent data structures</w:t>
            </w:r>
          </w:p>
        </w:tc>
        <w:tc>
          <w:tcPr>
            <w:tcW w:w="0" w:type="auto"/>
            <w:vAlign w:val="center"/>
            <w:hideMark/>
          </w:tcPr>
          <w:p w14:paraId="34545BC4" w14:textId="77777777" w:rsidR="003113C2" w:rsidRPr="003113C2" w:rsidRDefault="003113C2" w:rsidP="003113C2">
            <w:r w:rsidRPr="003113C2">
              <w:t>Manual reconciliation of column names and types across CSV and Excel formats</w:t>
            </w:r>
          </w:p>
        </w:tc>
      </w:tr>
      <w:tr w:rsidR="003113C2" w:rsidRPr="003113C2" w14:paraId="6E545503" w14:textId="77777777" w:rsidTr="003113C2">
        <w:trPr>
          <w:tblCellSpacing w:w="15" w:type="dxa"/>
        </w:trPr>
        <w:tc>
          <w:tcPr>
            <w:tcW w:w="0" w:type="auto"/>
            <w:vAlign w:val="center"/>
            <w:hideMark/>
          </w:tcPr>
          <w:p w14:paraId="7D3AA2B6" w14:textId="77777777" w:rsidR="003113C2" w:rsidRPr="003113C2" w:rsidRDefault="003113C2" w:rsidP="003113C2">
            <w:r w:rsidRPr="003113C2">
              <w:t>Unsupported hour = 24</w:t>
            </w:r>
          </w:p>
        </w:tc>
        <w:tc>
          <w:tcPr>
            <w:tcW w:w="0" w:type="auto"/>
            <w:vAlign w:val="center"/>
            <w:hideMark/>
          </w:tcPr>
          <w:p w14:paraId="4D812424" w14:textId="77777777" w:rsidR="003113C2" w:rsidRPr="003113C2" w:rsidRDefault="003113C2" w:rsidP="003113C2">
            <w:r w:rsidRPr="003113C2">
              <w:t>Converted to 00:00 of the next day to enable datetime parsing</w:t>
            </w:r>
          </w:p>
        </w:tc>
      </w:tr>
      <w:tr w:rsidR="003113C2" w:rsidRPr="003113C2" w14:paraId="16A9F79D" w14:textId="77777777" w:rsidTr="003113C2">
        <w:trPr>
          <w:tblCellSpacing w:w="15" w:type="dxa"/>
        </w:trPr>
        <w:tc>
          <w:tcPr>
            <w:tcW w:w="0" w:type="auto"/>
            <w:vAlign w:val="center"/>
            <w:hideMark/>
          </w:tcPr>
          <w:p w14:paraId="344E4F6C" w14:textId="77777777" w:rsidR="003113C2" w:rsidRPr="003113C2" w:rsidRDefault="003113C2" w:rsidP="003113C2">
            <w:r w:rsidRPr="003113C2">
              <w:t>Library conflicts (NumPy 2.x)</w:t>
            </w:r>
          </w:p>
        </w:tc>
        <w:tc>
          <w:tcPr>
            <w:tcW w:w="0" w:type="auto"/>
            <w:vAlign w:val="center"/>
            <w:hideMark/>
          </w:tcPr>
          <w:p w14:paraId="3B49BB79" w14:textId="77777777" w:rsidR="003113C2" w:rsidRPr="003113C2" w:rsidRDefault="003113C2" w:rsidP="003113C2">
            <w:r w:rsidRPr="003113C2">
              <w:t>Switched from Matplotlib to Plotly for environment compatibility</w:t>
            </w:r>
          </w:p>
        </w:tc>
      </w:tr>
      <w:tr w:rsidR="003113C2" w:rsidRPr="003113C2" w14:paraId="510BC442" w14:textId="77777777" w:rsidTr="003113C2">
        <w:trPr>
          <w:tblCellSpacing w:w="15" w:type="dxa"/>
        </w:trPr>
        <w:tc>
          <w:tcPr>
            <w:tcW w:w="0" w:type="auto"/>
            <w:vAlign w:val="center"/>
            <w:hideMark/>
          </w:tcPr>
          <w:p w14:paraId="118CEFAB" w14:textId="77777777" w:rsidR="003113C2" w:rsidRPr="003113C2" w:rsidRDefault="003113C2" w:rsidP="003113C2">
            <w:r w:rsidRPr="003113C2">
              <w:t>No zone-level generation data</w:t>
            </w:r>
          </w:p>
        </w:tc>
        <w:tc>
          <w:tcPr>
            <w:tcW w:w="0" w:type="auto"/>
            <w:vAlign w:val="center"/>
            <w:hideMark/>
          </w:tcPr>
          <w:p w14:paraId="66D33E59" w14:textId="77777777" w:rsidR="003113C2" w:rsidRPr="003113C2" w:rsidRDefault="003113C2" w:rsidP="003113C2">
            <w:r w:rsidRPr="003113C2">
              <w:t>Restricted analysis to province-level adequacy; zone-level reserve estimation was not possible</w:t>
            </w:r>
          </w:p>
        </w:tc>
      </w:tr>
      <w:tr w:rsidR="003113C2" w:rsidRPr="003113C2" w14:paraId="34091095" w14:textId="77777777" w:rsidTr="003113C2">
        <w:trPr>
          <w:tblCellSpacing w:w="15" w:type="dxa"/>
        </w:trPr>
        <w:tc>
          <w:tcPr>
            <w:tcW w:w="0" w:type="auto"/>
            <w:vAlign w:val="center"/>
            <w:hideMark/>
          </w:tcPr>
          <w:p w14:paraId="4B74EF58" w14:textId="77777777" w:rsidR="003113C2" w:rsidRPr="003113C2" w:rsidRDefault="003113C2" w:rsidP="003113C2">
            <w:r w:rsidRPr="003113C2">
              <w:t>Merging on time keys</w:t>
            </w:r>
          </w:p>
        </w:tc>
        <w:tc>
          <w:tcPr>
            <w:tcW w:w="0" w:type="auto"/>
            <w:vAlign w:val="center"/>
            <w:hideMark/>
          </w:tcPr>
          <w:p w14:paraId="600ED4DD" w14:textId="77777777" w:rsidR="003113C2" w:rsidRPr="003113C2" w:rsidRDefault="003113C2" w:rsidP="003113C2">
            <w:r w:rsidRPr="003113C2">
              <w:t>Required precise handling of both Date and Hour to prevent misalignment and error propagation</w:t>
            </w:r>
          </w:p>
        </w:tc>
      </w:tr>
    </w:tbl>
    <w:p w14:paraId="49520188" w14:textId="77777777" w:rsidR="003113C2" w:rsidRDefault="003113C2" w:rsidP="002D4342">
      <w:pPr>
        <w:rPr>
          <w:b/>
          <w:bCs/>
        </w:rPr>
      </w:pPr>
    </w:p>
    <w:p w14:paraId="3EA728E9" w14:textId="45823856" w:rsidR="00971E2A" w:rsidRDefault="00971E2A" w:rsidP="002D4342">
      <w:pPr>
        <w:rPr>
          <w:b/>
          <w:bCs/>
        </w:rPr>
      </w:pPr>
      <w:r w:rsidRPr="00971E2A">
        <w:rPr>
          <w:b/>
          <w:bCs/>
        </w:rPr>
        <w:t>Experiment 2: Smart Grid Readiness Composite Scoring</w:t>
      </w:r>
    </w:p>
    <w:p w14:paraId="0733CEB3" w14:textId="77777777" w:rsidR="00971E2A" w:rsidRPr="00971E2A" w:rsidRDefault="00971E2A" w:rsidP="00971E2A">
      <w:r w:rsidRPr="00971E2A">
        <w:t>This experiment applied the Weighted Sum Model (WSM) — a well-established technique in multi-criteria decision-making (MCDM) — to develop a composite Smart Grid Readiness Score for each Ontario zone. By integrating four key indicators of grid performance, the goal was to create a unified metric that supports infrastructure planning, investment prioritization, and comparative benchmarking across zones.</w:t>
      </w:r>
    </w:p>
    <w:p w14:paraId="059CD41C" w14:textId="725DDB98" w:rsidR="00971E2A" w:rsidRDefault="00971E2A" w:rsidP="002D4342">
      <w:r w:rsidRPr="00971E2A">
        <w:t>Despite some inputs being estimated or simulated due to data limitations, the WSM approach enabled clear, consistent, and interpretable readiness comparisons, offering valuable early-stage insights.</w:t>
      </w:r>
    </w:p>
    <w:p w14:paraId="42F4D452" w14:textId="77777777" w:rsidR="00971E2A" w:rsidRPr="00971E2A" w:rsidRDefault="00971E2A" w:rsidP="002D4342"/>
    <w:p w14:paraId="62B98D8E" w14:textId="2DD954F4" w:rsidR="002D4342" w:rsidRDefault="002D4342" w:rsidP="002D4342">
      <w:pPr>
        <w:rPr>
          <w:b/>
          <w:bCs/>
        </w:rPr>
      </w:pPr>
      <w:r w:rsidRPr="002D4342">
        <w:rPr>
          <w:b/>
          <w:bCs/>
        </w:rPr>
        <w:lastRenderedPageBreak/>
        <w:t>Experiment 3: Investment–Performance Gap Analysis</w:t>
      </w:r>
    </w:p>
    <w:p w14:paraId="47FA2A70" w14:textId="2D6A5131" w:rsidR="002D4342" w:rsidRDefault="002D4342" w:rsidP="002D4342">
      <w:pPr>
        <w:rPr>
          <w:b/>
          <w:bCs/>
        </w:rPr>
      </w:pPr>
      <w:r>
        <w:rPr>
          <w:b/>
          <w:bCs/>
        </w:rPr>
        <w:t xml:space="preserve">Description: </w:t>
      </w:r>
      <w:r w:rsidRPr="002D4342">
        <w:t>This experiment assesses the alignment between operational stress and infrastructure adequacy across Ontario’s zones. We define a Gap Score that captures where zones are overstressed (high demand variability and frequent outages) but under-supported by infrastructure capacity.</w:t>
      </w:r>
    </w:p>
    <w:p w14:paraId="0783E265" w14:textId="4ABCCC65" w:rsidR="002D4342" w:rsidRPr="002D4342" w:rsidRDefault="002D4342" w:rsidP="002D4342">
      <w:pPr>
        <w:rPr>
          <w:b/>
          <w:bCs/>
        </w:rPr>
      </w:pPr>
      <w:r w:rsidRPr="002D4342">
        <w:rPr>
          <w:b/>
          <w:bCs/>
        </w:rPr>
        <w:t>Limitations and Discussion</w:t>
      </w:r>
    </w:p>
    <w:p w14:paraId="6990F21D" w14:textId="77777777" w:rsidR="002D4342" w:rsidRPr="002D4342" w:rsidRDefault="002D4342" w:rsidP="002D4342">
      <w:pPr>
        <w:numPr>
          <w:ilvl w:val="0"/>
          <w:numId w:val="3"/>
        </w:numPr>
      </w:pPr>
      <w:r w:rsidRPr="002D4342">
        <w:t>The Gap Score simplifies a complex system by averaging indices and assumes equal weighting between DVI and OFI.</w:t>
      </w:r>
    </w:p>
    <w:p w14:paraId="78A52FED" w14:textId="77777777" w:rsidR="002D4342" w:rsidRPr="002D4342" w:rsidRDefault="002D4342" w:rsidP="002D4342">
      <w:pPr>
        <w:numPr>
          <w:ilvl w:val="0"/>
          <w:numId w:val="3"/>
        </w:numPr>
      </w:pPr>
      <w:r w:rsidRPr="002D4342">
        <w:t>It does not capture localized constraints (e.g., substation limits, transmission congestion).</w:t>
      </w:r>
    </w:p>
    <w:p w14:paraId="742C9ECA" w14:textId="77777777" w:rsidR="002D4342" w:rsidRPr="002D4342" w:rsidRDefault="002D4342" w:rsidP="002D4342">
      <w:pPr>
        <w:numPr>
          <w:ilvl w:val="0"/>
          <w:numId w:val="3"/>
        </w:numPr>
      </w:pPr>
      <w:r w:rsidRPr="002D4342">
        <w:t>Adequacy margins are based on normalized proxies; actual margins may vary by season or grid configuration.</w:t>
      </w:r>
    </w:p>
    <w:p w14:paraId="6ED4A9C9" w14:textId="77777777" w:rsidR="002D4342" w:rsidRPr="002D4342" w:rsidRDefault="002D4342" w:rsidP="002D4342">
      <w:pPr>
        <w:numPr>
          <w:ilvl w:val="0"/>
          <w:numId w:val="3"/>
        </w:numPr>
      </w:pPr>
      <w:r w:rsidRPr="002D4342">
        <w:t>Operational stress may fluctuate over time — one-time analysis may miss emerging trends or improvements.</w:t>
      </w:r>
    </w:p>
    <w:p w14:paraId="1F5BEB47" w14:textId="1C51BFEB" w:rsidR="002D4342" w:rsidRPr="002D4342" w:rsidRDefault="002D4342">
      <w:r w:rsidRPr="002D4342">
        <w:t>Nevertheless, the Gap Score provides a clear, interpretable metric to identify mismatch zones — where infrastructure development has not kept pace with operational demands.</w:t>
      </w:r>
    </w:p>
    <w:p w14:paraId="4933C6C3" w14:textId="63B7DB10" w:rsidR="004E7BA3" w:rsidRDefault="004E7BA3">
      <w:r w:rsidRPr="004E7BA3">
        <w:rPr>
          <w:b/>
          <w:bCs/>
        </w:rPr>
        <w:t>Experiment 4:</w:t>
      </w:r>
      <w:r w:rsidRPr="004E7BA3">
        <w:t xml:space="preserve"> Zone Clustering via Time-Series Shape Analysis</w:t>
      </w:r>
    </w:p>
    <w:p w14:paraId="050970C5" w14:textId="77777777" w:rsidR="004E7BA3" w:rsidRPr="004E7BA3" w:rsidRDefault="004E7BA3" w:rsidP="004E7BA3">
      <w:r w:rsidRPr="004E7BA3">
        <w:t xml:space="preserve">In this experiment, we quantify demand variability across Ontario zones using the </w:t>
      </w:r>
      <w:r w:rsidRPr="004E7BA3">
        <w:rPr>
          <w:b/>
          <w:bCs/>
        </w:rPr>
        <w:t>coefficient of variation (CV)</w:t>
      </w:r>
      <w:r w:rsidRPr="004E7BA3">
        <w:t xml:space="preserve"> at two temporal resolutions: </w:t>
      </w:r>
      <w:r w:rsidRPr="004E7BA3">
        <w:rPr>
          <w:b/>
          <w:bCs/>
        </w:rPr>
        <w:t>hourly</w:t>
      </w:r>
      <w:r w:rsidRPr="004E7BA3">
        <w:t xml:space="preserve"> and </w:t>
      </w:r>
      <w:r w:rsidRPr="004E7BA3">
        <w:rPr>
          <w:b/>
          <w:bCs/>
        </w:rPr>
        <w:t>daily</w:t>
      </w:r>
      <w:r w:rsidRPr="004E7BA3">
        <w:t>. Hourly CV captures short-term, intra-day fluctuations, while daily CV reflects longer-term, inter-day variability in demand patterns. Together, these two indicators help assess how predictable and stable electricity usage is in each zone.</w:t>
      </w:r>
    </w:p>
    <w:p w14:paraId="5637E9F1" w14:textId="77777777" w:rsidR="004E7BA3" w:rsidRPr="004E7BA3" w:rsidRDefault="004E7BA3" w:rsidP="004E7BA3">
      <w:r w:rsidRPr="004E7BA3">
        <w:t>This dual-resolution variability analysis provides a nuanced view of operational challenges faced by the grid and highlights which zones require greater responsiveness versus strategic planning.</w:t>
      </w:r>
    </w:p>
    <w:p w14:paraId="2A276787" w14:textId="77777777" w:rsidR="004E7BA3" w:rsidRPr="004E7BA3" w:rsidRDefault="004E7BA3" w:rsidP="004E7BA3">
      <w:pPr>
        <w:rPr>
          <w:b/>
          <w:bCs/>
        </w:rPr>
      </w:pPr>
      <w:r w:rsidRPr="004E7BA3">
        <w:rPr>
          <w:b/>
          <w:bCs/>
        </w:rPr>
        <w:t>Limitations and Discussion</w:t>
      </w:r>
    </w:p>
    <w:p w14:paraId="44BB70AC" w14:textId="77777777" w:rsidR="004E7BA3" w:rsidRPr="004E7BA3" w:rsidRDefault="004E7BA3" w:rsidP="004E7BA3">
      <w:pPr>
        <w:numPr>
          <w:ilvl w:val="0"/>
          <w:numId w:val="2"/>
        </w:numPr>
      </w:pPr>
      <w:r w:rsidRPr="004E7BA3">
        <w:t xml:space="preserve">CV is a </w:t>
      </w:r>
      <w:r w:rsidRPr="004E7BA3">
        <w:rPr>
          <w:b/>
          <w:bCs/>
        </w:rPr>
        <w:t>relative metric</w:t>
      </w:r>
      <w:r w:rsidRPr="004E7BA3">
        <w:t xml:space="preserve"> (std/mean) and may be skewed in zones with very low average demand.</w:t>
      </w:r>
    </w:p>
    <w:p w14:paraId="65DE4D06" w14:textId="77777777" w:rsidR="004E7BA3" w:rsidRPr="004E7BA3" w:rsidRDefault="004E7BA3" w:rsidP="004E7BA3">
      <w:pPr>
        <w:numPr>
          <w:ilvl w:val="0"/>
          <w:numId w:val="2"/>
        </w:numPr>
      </w:pPr>
      <w:r w:rsidRPr="004E7BA3">
        <w:rPr>
          <w:b/>
          <w:bCs/>
        </w:rPr>
        <w:t>Hourly CV exaggerates local spikes</w:t>
      </w:r>
      <w:r w:rsidRPr="004E7BA3">
        <w:t>, which may or may not be operationally critical, depending on system inertia and available reserves.</w:t>
      </w:r>
    </w:p>
    <w:p w14:paraId="1C3DD784" w14:textId="77777777" w:rsidR="004E7BA3" w:rsidRPr="004E7BA3" w:rsidRDefault="004E7BA3" w:rsidP="004E7BA3">
      <w:pPr>
        <w:numPr>
          <w:ilvl w:val="0"/>
          <w:numId w:val="2"/>
        </w:numPr>
      </w:pPr>
      <w:r w:rsidRPr="004E7BA3">
        <w:rPr>
          <w:b/>
          <w:bCs/>
        </w:rPr>
        <w:lastRenderedPageBreak/>
        <w:t>Daily CV smooths out short-term instability</w:t>
      </w:r>
      <w:r w:rsidRPr="004E7BA3">
        <w:t xml:space="preserve"> but may miss critical real-time stress periods.</w:t>
      </w:r>
    </w:p>
    <w:p w14:paraId="0B81B1DB" w14:textId="77777777" w:rsidR="004E7BA3" w:rsidRPr="004E7BA3" w:rsidRDefault="004E7BA3" w:rsidP="004E7BA3">
      <w:pPr>
        <w:numPr>
          <w:ilvl w:val="0"/>
          <w:numId w:val="2"/>
        </w:numPr>
      </w:pPr>
      <w:r w:rsidRPr="004E7BA3">
        <w:t xml:space="preserve">This analysis assumes stationarity in demand — but </w:t>
      </w:r>
      <w:r w:rsidRPr="004E7BA3">
        <w:rPr>
          <w:b/>
          <w:bCs/>
        </w:rPr>
        <w:t>demand patterns evolve</w:t>
      </w:r>
      <w:r w:rsidRPr="004E7BA3">
        <w:t xml:space="preserve"> due to seasonality, policy changes, or economic disruptions.</w:t>
      </w:r>
    </w:p>
    <w:p w14:paraId="0990DC4E" w14:textId="77777777" w:rsidR="004E7BA3" w:rsidRPr="004E7BA3" w:rsidRDefault="004E7BA3" w:rsidP="004E7BA3">
      <w:r w:rsidRPr="004E7BA3">
        <w:t xml:space="preserve">Thus, CV-based volatility profiles are most effective when used as </w:t>
      </w:r>
      <w:r w:rsidRPr="004E7BA3">
        <w:rPr>
          <w:b/>
          <w:bCs/>
        </w:rPr>
        <w:t>early indicators</w:t>
      </w:r>
      <w:r w:rsidRPr="004E7BA3">
        <w:t xml:space="preserve"> for stress-prone zones, rather than as final decision criteria.</w:t>
      </w:r>
    </w:p>
    <w:p w14:paraId="4B6813D7" w14:textId="77777777" w:rsidR="004E7BA3" w:rsidRDefault="004E7BA3"/>
    <w:p w14:paraId="25B35C17" w14:textId="77777777" w:rsidR="004E7BA3" w:rsidRDefault="004E7BA3"/>
    <w:p w14:paraId="642FE72C" w14:textId="55340F17" w:rsidR="00A522D8" w:rsidRPr="004E7BA3" w:rsidRDefault="00606F9C">
      <w:pPr>
        <w:rPr>
          <w:b/>
          <w:bCs/>
        </w:rPr>
      </w:pPr>
      <w:r w:rsidRPr="004E7BA3">
        <w:rPr>
          <w:b/>
          <w:bCs/>
        </w:rPr>
        <w:t>Experiment 5:</w:t>
      </w:r>
    </w:p>
    <w:p w14:paraId="2E73F00B" w14:textId="00F02A46" w:rsidR="00606F9C" w:rsidRDefault="00606F9C">
      <w:r>
        <w:t>What we did?</w:t>
      </w:r>
    </w:p>
    <w:p w14:paraId="6505D9EB" w14:textId="77777777" w:rsidR="004E7BA3" w:rsidRPr="004E7BA3" w:rsidRDefault="004E7BA3" w:rsidP="004E7BA3">
      <w:r w:rsidRPr="004E7BA3">
        <w:t xml:space="preserve">In this experiment, we analyze load behavior across Ontario’s zones using time-series clustering. Instead of relying solely on average demand or demand variability, we employ </w:t>
      </w:r>
      <w:r w:rsidRPr="004E7BA3">
        <w:rPr>
          <w:b/>
          <w:bCs/>
        </w:rPr>
        <w:t>Piecewise Aggregate Approximation (PAA)</w:t>
      </w:r>
      <w:r w:rsidRPr="004E7BA3">
        <w:t xml:space="preserve"> followed by </w:t>
      </w:r>
      <w:r w:rsidRPr="004E7BA3">
        <w:rPr>
          <w:b/>
          <w:bCs/>
        </w:rPr>
        <w:t>K-Means clustering</w:t>
      </w:r>
      <w:r w:rsidRPr="004E7BA3">
        <w:t xml:space="preserve"> to group zones based on the </w:t>
      </w:r>
      <w:r w:rsidRPr="004E7BA3">
        <w:rPr>
          <w:i/>
          <w:iCs/>
        </w:rPr>
        <w:t>shape</w:t>
      </w:r>
      <w:r w:rsidRPr="004E7BA3">
        <w:t xml:space="preserve"> and </w:t>
      </w:r>
      <w:r w:rsidRPr="004E7BA3">
        <w:rPr>
          <w:i/>
          <w:iCs/>
        </w:rPr>
        <w:t>temporal dynamics</w:t>
      </w:r>
      <w:r w:rsidRPr="004E7BA3">
        <w:t xml:space="preserve"> of their demand curves.</w:t>
      </w:r>
    </w:p>
    <w:p w14:paraId="02357CCA" w14:textId="4CD40074" w:rsidR="004E7BA3" w:rsidRDefault="004E7BA3">
      <w:r w:rsidRPr="004E7BA3">
        <w:t xml:space="preserve">This approach captures latent behavioral similarities — zones that may have different magnitudes of demand but exhibit similar daily or hourly usage profiles. For example, </w:t>
      </w:r>
      <w:r w:rsidRPr="004E7BA3">
        <w:rPr>
          <w:b/>
          <w:bCs/>
        </w:rPr>
        <w:t>BRUCE and NORTHWEST</w:t>
      </w:r>
      <w:r w:rsidRPr="004E7BA3">
        <w:t xml:space="preserve"> may both show low demand with high fluctuations, while </w:t>
      </w:r>
      <w:r w:rsidRPr="004E7BA3">
        <w:rPr>
          <w:b/>
          <w:bCs/>
        </w:rPr>
        <w:t>TORONTO and ESSA</w:t>
      </w:r>
      <w:r w:rsidRPr="004E7BA3">
        <w:t xml:space="preserve"> may exhibit high and stable usage patterns.</w:t>
      </w:r>
    </w:p>
    <w:p w14:paraId="3325CAEC" w14:textId="77777777" w:rsidR="00606F9C" w:rsidRPr="00606F9C" w:rsidRDefault="00606F9C" w:rsidP="00606F9C">
      <w:r w:rsidRPr="00606F9C">
        <w:t xml:space="preserve">  We took each zone's </w:t>
      </w:r>
      <w:r w:rsidRPr="00606F9C">
        <w:rPr>
          <w:b/>
          <w:bCs/>
        </w:rPr>
        <w:t>daily average demand</w:t>
      </w:r>
      <w:r w:rsidRPr="00606F9C">
        <w:t xml:space="preserve"> from Dataset 1.</w:t>
      </w:r>
    </w:p>
    <w:p w14:paraId="4BE6808C" w14:textId="77777777" w:rsidR="00606F9C" w:rsidRPr="00606F9C" w:rsidRDefault="00606F9C" w:rsidP="00606F9C">
      <w:r w:rsidRPr="00606F9C">
        <w:t xml:space="preserve">  We applied </w:t>
      </w:r>
      <w:r w:rsidRPr="00606F9C">
        <w:rPr>
          <w:b/>
          <w:bCs/>
        </w:rPr>
        <w:t>Piecewise Aggregate Approximation (PAA)</w:t>
      </w:r>
      <w:r w:rsidRPr="00606F9C">
        <w:t xml:space="preserve"> to compress each zone's long time series into a fixed-length summary of demand behavior.</w:t>
      </w:r>
    </w:p>
    <w:p w14:paraId="64DE5944" w14:textId="77777777" w:rsidR="00606F9C" w:rsidRPr="00606F9C" w:rsidRDefault="00606F9C" w:rsidP="00606F9C">
      <w:r w:rsidRPr="00606F9C">
        <w:t>  We normalized the compressed vectors so zones are compared fairly.</w:t>
      </w:r>
    </w:p>
    <w:p w14:paraId="411380D0" w14:textId="77777777" w:rsidR="00606F9C" w:rsidRPr="00606F9C" w:rsidRDefault="00606F9C" w:rsidP="00606F9C">
      <w:r w:rsidRPr="00606F9C">
        <w:t xml:space="preserve">  We applied </w:t>
      </w:r>
      <w:r w:rsidRPr="00606F9C">
        <w:rPr>
          <w:b/>
          <w:bCs/>
        </w:rPr>
        <w:t>K-Means clustering</w:t>
      </w:r>
      <w:r w:rsidRPr="00606F9C">
        <w:t xml:space="preserve"> to group zones with </w:t>
      </w:r>
      <w:r w:rsidRPr="00606F9C">
        <w:rPr>
          <w:b/>
          <w:bCs/>
        </w:rPr>
        <w:t>similar demand patterns</w:t>
      </w:r>
      <w:r w:rsidRPr="00606F9C">
        <w:t>.</w:t>
      </w:r>
    </w:p>
    <w:p w14:paraId="24416FC0" w14:textId="77777777" w:rsidR="00606F9C" w:rsidRPr="00606F9C" w:rsidRDefault="00606F9C" w:rsidP="00606F9C">
      <w:r w:rsidRPr="00606F9C">
        <w:t xml:space="preserve">  We visualized the clusters in 2D using </w:t>
      </w:r>
      <w:r w:rsidRPr="00606F9C">
        <w:rPr>
          <w:b/>
          <w:bCs/>
        </w:rPr>
        <w:t>Principal Component Analysis (PCA)</w:t>
      </w:r>
      <w:r w:rsidRPr="00606F9C">
        <w:t>.</w:t>
      </w:r>
    </w:p>
    <w:p w14:paraId="5BC2574C" w14:textId="77777777" w:rsidR="00606F9C" w:rsidRPr="00606F9C" w:rsidRDefault="00606F9C" w:rsidP="00606F9C">
      <w:pPr>
        <w:rPr>
          <w:b/>
          <w:bCs/>
        </w:rPr>
      </w:pPr>
      <w:r w:rsidRPr="00606F9C">
        <w:rPr>
          <w:b/>
          <w:bCs/>
        </w:rPr>
        <w:t>Limitations and Discussion</w:t>
      </w:r>
    </w:p>
    <w:p w14:paraId="499BD8B6" w14:textId="77777777" w:rsidR="00606F9C" w:rsidRPr="00606F9C" w:rsidRDefault="00606F9C" w:rsidP="00606F9C">
      <w:r w:rsidRPr="00606F9C">
        <w:t>While this clustering technique provides valuable abstraction, it is important to recognize that:</w:t>
      </w:r>
    </w:p>
    <w:p w14:paraId="7AD59508" w14:textId="77777777" w:rsidR="00606F9C" w:rsidRPr="00606F9C" w:rsidRDefault="00606F9C" w:rsidP="00606F9C">
      <w:pPr>
        <w:numPr>
          <w:ilvl w:val="0"/>
          <w:numId w:val="1"/>
        </w:numPr>
      </w:pPr>
      <w:r w:rsidRPr="00606F9C">
        <w:rPr>
          <w:b/>
          <w:bCs/>
        </w:rPr>
        <w:t>Zone similarity in load shape</w:t>
      </w:r>
      <w:r w:rsidRPr="00606F9C">
        <w:t xml:space="preserve"> does not always imply similarity in infrastructure capacity, economic priority, or resilience.</w:t>
      </w:r>
    </w:p>
    <w:p w14:paraId="6EC348B8" w14:textId="77777777" w:rsidR="00606F9C" w:rsidRPr="00606F9C" w:rsidRDefault="00606F9C" w:rsidP="00606F9C">
      <w:pPr>
        <w:numPr>
          <w:ilvl w:val="0"/>
          <w:numId w:val="1"/>
        </w:numPr>
      </w:pPr>
      <w:r w:rsidRPr="00606F9C">
        <w:lastRenderedPageBreak/>
        <w:t xml:space="preserve">PAA simplifies demand time series by reducing dimensionality; this may mask </w:t>
      </w:r>
      <w:r w:rsidRPr="00606F9C">
        <w:rPr>
          <w:b/>
          <w:bCs/>
        </w:rPr>
        <w:t>short-term anomalies</w:t>
      </w:r>
      <w:r w:rsidRPr="00606F9C">
        <w:t xml:space="preserve"> or </w:t>
      </w:r>
      <w:r w:rsidRPr="00606F9C">
        <w:rPr>
          <w:b/>
          <w:bCs/>
        </w:rPr>
        <w:t>localized peaks</w:t>
      </w:r>
      <w:r w:rsidRPr="00606F9C">
        <w:t xml:space="preserve"> that are operationally significant.</w:t>
      </w:r>
    </w:p>
    <w:p w14:paraId="54C99B93" w14:textId="77777777" w:rsidR="00606F9C" w:rsidRPr="00606F9C" w:rsidRDefault="00606F9C" w:rsidP="00606F9C">
      <w:pPr>
        <w:numPr>
          <w:ilvl w:val="0"/>
          <w:numId w:val="1"/>
        </w:numPr>
      </w:pPr>
      <w:r w:rsidRPr="00606F9C">
        <w:t xml:space="preserve">Clustering assumes historical demand profiles remain stable — in reality, </w:t>
      </w:r>
      <w:r w:rsidRPr="00606F9C">
        <w:rPr>
          <w:b/>
          <w:bCs/>
        </w:rPr>
        <w:t>demand behavior may evolve</w:t>
      </w:r>
      <w:r w:rsidRPr="00606F9C">
        <w:t xml:space="preserve"> due to economic shifts, weather patterns, or policy changes.</w:t>
      </w:r>
    </w:p>
    <w:p w14:paraId="5562436C" w14:textId="77777777" w:rsidR="00606F9C" w:rsidRPr="00606F9C" w:rsidRDefault="00606F9C" w:rsidP="00606F9C">
      <w:r w:rsidRPr="00606F9C">
        <w:t xml:space="preserve">Therefore, while these clusters are useful for </w:t>
      </w:r>
      <w:r w:rsidRPr="00606F9C">
        <w:rPr>
          <w:b/>
          <w:bCs/>
        </w:rPr>
        <w:t>strategic grid planning</w:t>
      </w:r>
      <w:r w:rsidRPr="00606F9C">
        <w:t xml:space="preserve">, they should be </w:t>
      </w:r>
      <w:r w:rsidRPr="00606F9C">
        <w:rPr>
          <w:b/>
          <w:bCs/>
        </w:rPr>
        <w:t>complemented by localized operational assessments</w:t>
      </w:r>
      <w:r w:rsidRPr="00606F9C">
        <w:t xml:space="preserve"> before investment or policy action.</w:t>
      </w:r>
    </w:p>
    <w:p w14:paraId="43B6D252" w14:textId="77777777" w:rsidR="00606F9C" w:rsidRDefault="00606F9C"/>
    <w:p w14:paraId="69B1914D" w14:textId="3DF550C9" w:rsidR="00606F9C" w:rsidRDefault="00606F9C">
      <w:pPr>
        <w:rPr>
          <w:b/>
          <w:bCs/>
        </w:rPr>
      </w:pPr>
      <w:r w:rsidRPr="004E7BA3">
        <w:rPr>
          <w:b/>
          <w:bCs/>
        </w:rPr>
        <w:t xml:space="preserve">Experiment 6: </w:t>
      </w:r>
    </w:p>
    <w:p w14:paraId="49F64BC0" w14:textId="4CC8E44D" w:rsidR="004E7BA3" w:rsidRDefault="004E7BA3">
      <w:pPr>
        <w:rPr>
          <w:b/>
          <w:bCs/>
        </w:rPr>
      </w:pPr>
      <w:r>
        <w:rPr>
          <w:b/>
          <w:bCs/>
        </w:rPr>
        <w:t>Description:</w:t>
      </w:r>
    </w:p>
    <w:p w14:paraId="494A26E8" w14:textId="28902C11" w:rsidR="004E7BA3" w:rsidRPr="004E7BA3" w:rsidRDefault="004E7BA3">
      <w:r w:rsidRPr="004E7BA3">
        <w:t>In this experiment, we evaluate the mismatch between real-time Ontario demand and the combined forecast of Variable Generation (VG) and Surplus Baseload Generation (SBG). While VG + SBG do not represent the full generation stack, this analysis quantifies the extent to which these components fall short of meeting total system demand. The resulting high error values reflect the limited share of VG and SBG in the generation portfolio rather than forecasting inaccuracy.</w:t>
      </w:r>
    </w:p>
    <w:p w14:paraId="09BC0C5E" w14:textId="50796179" w:rsidR="00606F9C" w:rsidRPr="004E7BA3" w:rsidRDefault="00606F9C">
      <w:pPr>
        <w:rPr>
          <w:b/>
          <w:bCs/>
        </w:rPr>
      </w:pPr>
      <w:r w:rsidRPr="004E7BA3">
        <w:rPr>
          <w:b/>
          <w:bCs/>
        </w:rPr>
        <w:t>Limitations and Discussion</w:t>
      </w:r>
    </w:p>
    <w:p w14:paraId="496E7250" w14:textId="4AAB5232" w:rsidR="00606F9C" w:rsidRDefault="00606F9C">
      <w:r w:rsidRPr="00606F9C">
        <w:t xml:space="preserve">While this experiment compares real-time Ontario demand against the combined forecasts of Variable Generation (VG) and Surplus Baseload Generation (SBG), it is important to acknowledge that VG and SBG represent only a subset of the overall generation portfolio. The high absolute and percentage errors observed are not indicative of poor forecasting quality, but rather reflect the structural gap between total demand and the limited contribution of VG and SBG sources. In practice, Ontario’s energy needs are met through a broader mix including baseload generation (e.g., nuclear, hydro), dispatchable thermal resources, and imports. As such, the results should be interpreted as a measure of </w:t>
      </w:r>
      <w:r w:rsidRPr="00606F9C">
        <w:rPr>
          <w:b/>
          <w:bCs/>
        </w:rPr>
        <w:t>partial coverage</w:t>
      </w:r>
      <w:r w:rsidRPr="00606F9C">
        <w:t xml:space="preserve"> rather than </w:t>
      </w:r>
      <w:r w:rsidRPr="00606F9C">
        <w:rPr>
          <w:b/>
          <w:bCs/>
        </w:rPr>
        <w:t>forecasting failure</w:t>
      </w:r>
      <w:r w:rsidRPr="00606F9C">
        <w:t>. This analysis helps quantify the forecasting gap that remains when relying solely on variable and surplus baseload resources.</w:t>
      </w:r>
    </w:p>
    <w:p w14:paraId="0B11EAF9" w14:textId="77777777" w:rsidR="00606F9C" w:rsidRPr="00392D5A" w:rsidRDefault="00606F9C">
      <w:pPr>
        <w:rPr>
          <w:b/>
          <w:bCs/>
        </w:rPr>
      </w:pPr>
    </w:p>
    <w:p w14:paraId="109C1BFC" w14:textId="77777777" w:rsidR="00392D5A" w:rsidRPr="00392D5A" w:rsidRDefault="00392D5A" w:rsidP="00392D5A">
      <w:pPr>
        <w:rPr>
          <w:b/>
          <w:bCs/>
        </w:rPr>
      </w:pPr>
      <w:r w:rsidRPr="00392D5A">
        <w:rPr>
          <w:b/>
          <w:bCs/>
        </w:rPr>
        <w:t>Experiment 7: Transmission Outage Frequency and Duration Index</w:t>
      </w:r>
    </w:p>
    <w:p w14:paraId="55853741" w14:textId="329EC945" w:rsidR="00392D5A" w:rsidRPr="00392D5A" w:rsidRDefault="00392D5A" w:rsidP="00392D5A">
      <w:pPr>
        <w:rPr>
          <w:b/>
          <w:bCs/>
        </w:rPr>
      </w:pPr>
      <w:r w:rsidRPr="00392D5A">
        <w:rPr>
          <w:b/>
          <w:bCs/>
        </w:rPr>
        <w:t>Limitations</w:t>
      </w:r>
    </w:p>
    <w:p w14:paraId="72A58A95" w14:textId="77777777" w:rsidR="00392D5A" w:rsidRPr="00392D5A" w:rsidRDefault="00392D5A" w:rsidP="00392D5A">
      <w:pPr>
        <w:numPr>
          <w:ilvl w:val="0"/>
          <w:numId w:val="4"/>
        </w:numPr>
      </w:pPr>
      <w:r w:rsidRPr="00392D5A">
        <w:t>Does not distinguish between planned and unplanned outages.</w:t>
      </w:r>
    </w:p>
    <w:p w14:paraId="53C26B64" w14:textId="77777777" w:rsidR="00392D5A" w:rsidRPr="00392D5A" w:rsidRDefault="00392D5A" w:rsidP="00392D5A">
      <w:pPr>
        <w:numPr>
          <w:ilvl w:val="0"/>
          <w:numId w:val="4"/>
        </w:numPr>
      </w:pPr>
      <w:r w:rsidRPr="00392D5A">
        <w:t>Lacks sectoral breakdown (residential, industrial, commercial).</w:t>
      </w:r>
    </w:p>
    <w:p w14:paraId="649EBF81" w14:textId="77777777" w:rsidR="00392D5A" w:rsidRPr="00392D5A" w:rsidRDefault="00392D5A" w:rsidP="00392D5A">
      <w:pPr>
        <w:numPr>
          <w:ilvl w:val="0"/>
          <w:numId w:val="4"/>
        </w:numPr>
      </w:pPr>
      <w:r w:rsidRPr="00392D5A">
        <w:lastRenderedPageBreak/>
        <w:t>Treats all outage hours equally (no time-of-day or seasonal weighting).</w:t>
      </w:r>
    </w:p>
    <w:p w14:paraId="3925B272" w14:textId="77777777" w:rsidR="00392D5A" w:rsidRPr="00392D5A" w:rsidRDefault="00392D5A" w:rsidP="00392D5A">
      <w:pPr>
        <w:numPr>
          <w:ilvl w:val="0"/>
          <w:numId w:val="4"/>
        </w:numPr>
      </w:pPr>
      <w:r w:rsidRPr="00392D5A">
        <w:t>Ignores whether demand was actually met during outages.</w:t>
      </w:r>
    </w:p>
    <w:p w14:paraId="763B9F8B" w14:textId="77777777" w:rsidR="00392D5A" w:rsidRPr="00392D5A" w:rsidRDefault="00392D5A" w:rsidP="00392D5A">
      <w:pPr>
        <w:numPr>
          <w:ilvl w:val="0"/>
          <w:numId w:val="4"/>
        </w:numPr>
      </w:pPr>
      <w:r w:rsidRPr="00392D5A">
        <w:t>Assumes static demand behavior without accounting for demand response.</w:t>
      </w:r>
    </w:p>
    <w:p w14:paraId="6864996B" w14:textId="77777777" w:rsidR="00392D5A" w:rsidRPr="00392D5A" w:rsidRDefault="00392D5A" w:rsidP="00392D5A">
      <w:pPr>
        <w:numPr>
          <w:ilvl w:val="0"/>
          <w:numId w:val="4"/>
        </w:numPr>
      </w:pPr>
      <w:r w:rsidRPr="00392D5A">
        <w:t>May be affected by data gaps or outage logging inconsistencies.</w:t>
      </w:r>
    </w:p>
    <w:p w14:paraId="765E9CDF" w14:textId="77777777" w:rsidR="00392D5A" w:rsidRDefault="00392D5A" w:rsidP="00392D5A">
      <w:pPr>
        <w:numPr>
          <w:ilvl w:val="0"/>
          <w:numId w:val="4"/>
        </w:numPr>
      </w:pPr>
      <w:r w:rsidRPr="00392D5A">
        <w:t>Long-duration outages could dominate and skew averages.</w:t>
      </w:r>
    </w:p>
    <w:p w14:paraId="5E36CA2E" w14:textId="77777777" w:rsidR="006E2D38" w:rsidRDefault="006E2D38" w:rsidP="006E2D38"/>
    <w:p w14:paraId="7A021531" w14:textId="7642B181" w:rsidR="006E2D38" w:rsidRPr="006E2D38" w:rsidRDefault="006E2D38" w:rsidP="006E2D38">
      <w:pPr>
        <w:rPr>
          <w:b/>
          <w:bCs/>
        </w:rPr>
      </w:pPr>
      <w:r w:rsidRPr="006E2D38">
        <w:rPr>
          <w:b/>
          <w:bCs/>
        </w:rPr>
        <w:t>Experiment 9: Resilience Composite Scoring</w:t>
      </w:r>
    </w:p>
    <w:p w14:paraId="7FEF2AF6" w14:textId="77777777" w:rsidR="006E2D38" w:rsidRPr="006E2D38" w:rsidRDefault="006E2D38" w:rsidP="006E2D38">
      <w:pPr>
        <w:rPr>
          <w:b/>
          <w:bCs/>
        </w:rPr>
      </w:pPr>
      <w:r w:rsidRPr="006E2D38">
        <w:rPr>
          <w:b/>
          <w:bCs/>
        </w:rPr>
        <w:t>Limitations</w:t>
      </w:r>
    </w:p>
    <w:p w14:paraId="15501CE0" w14:textId="77777777" w:rsidR="006E2D38" w:rsidRPr="006E2D38" w:rsidRDefault="006E2D38" w:rsidP="006E2D38">
      <w:pPr>
        <w:numPr>
          <w:ilvl w:val="0"/>
          <w:numId w:val="5"/>
        </w:numPr>
      </w:pPr>
      <w:r w:rsidRPr="006E2D38">
        <w:rPr>
          <w:b/>
          <w:bCs/>
        </w:rPr>
        <w:t>OFI lacks variability</w:t>
      </w:r>
      <w:r w:rsidRPr="006E2D38">
        <w:br/>
        <w:t>Since outage hours are identical across zones, the Outage Frequency Index (OFI) does not influence scoring in this dataset.</w:t>
      </w:r>
    </w:p>
    <w:p w14:paraId="3D707A71" w14:textId="77777777" w:rsidR="006E2D38" w:rsidRPr="006E2D38" w:rsidRDefault="006E2D38" w:rsidP="006E2D38">
      <w:pPr>
        <w:numPr>
          <w:ilvl w:val="0"/>
          <w:numId w:val="5"/>
        </w:numPr>
      </w:pPr>
      <w:r w:rsidRPr="006E2D38">
        <w:rPr>
          <w:b/>
          <w:bCs/>
        </w:rPr>
        <w:t>Estimated stress is not zone-measured</w:t>
      </w:r>
      <w:r w:rsidRPr="006E2D38">
        <w:br/>
        <w:t>Abnormal demand and dispatch deviations are allocated based on demand share, not actual zone-level measurements — limiting precision.</w:t>
      </w:r>
    </w:p>
    <w:p w14:paraId="1F161C51" w14:textId="77777777" w:rsidR="006E2D38" w:rsidRPr="006E2D38" w:rsidRDefault="006E2D38" w:rsidP="006E2D38">
      <w:pPr>
        <w:numPr>
          <w:ilvl w:val="0"/>
          <w:numId w:val="5"/>
        </w:numPr>
      </w:pPr>
      <w:r w:rsidRPr="006E2D38">
        <w:rPr>
          <w:b/>
          <w:bCs/>
        </w:rPr>
        <w:t>Temporal effects are averaged</w:t>
      </w:r>
      <w:r w:rsidRPr="006E2D38">
        <w:br/>
        <w:t>Monthly stress values are averaged, which may obscure short-term spikes or seasonal patterns.</w:t>
      </w:r>
    </w:p>
    <w:p w14:paraId="2E490C0B" w14:textId="77777777" w:rsidR="006E2D38" w:rsidRDefault="006E2D38" w:rsidP="006E2D38">
      <w:pPr>
        <w:numPr>
          <w:ilvl w:val="0"/>
          <w:numId w:val="5"/>
        </w:numPr>
      </w:pPr>
      <w:r w:rsidRPr="006E2D38">
        <w:rPr>
          <w:b/>
          <w:bCs/>
        </w:rPr>
        <w:t>Equal weighting assumption</w:t>
      </w:r>
      <w:r w:rsidRPr="006E2D38">
        <w:br/>
        <w:t>The scoring model assigns equal importance to all factors, which may not reflect their true operational impact.</w:t>
      </w:r>
    </w:p>
    <w:p w14:paraId="0DE619DD" w14:textId="77777777" w:rsidR="00925F0C" w:rsidRDefault="00925F0C" w:rsidP="00925F0C"/>
    <w:p w14:paraId="5927C0D4" w14:textId="512C982E" w:rsidR="00925F0C" w:rsidRDefault="00925F0C" w:rsidP="00925F0C">
      <w:pPr>
        <w:rPr>
          <w:b/>
          <w:bCs/>
        </w:rPr>
      </w:pPr>
      <w:r w:rsidRPr="00FB650B">
        <w:rPr>
          <w:b/>
          <w:bCs/>
        </w:rPr>
        <w:t>Experiment 3: Operational Resilience Proxy Metric</w:t>
      </w:r>
    </w:p>
    <w:p w14:paraId="00AC6FC8" w14:textId="77777777" w:rsidR="00925F0C" w:rsidRPr="00925F0C" w:rsidRDefault="00925F0C" w:rsidP="00925F0C">
      <w:pPr>
        <w:rPr>
          <w:b/>
          <w:bCs/>
        </w:rPr>
      </w:pPr>
      <w:r w:rsidRPr="00925F0C">
        <w:rPr>
          <w:b/>
          <w:bCs/>
        </w:rPr>
        <w:t>Description:</w:t>
      </w:r>
    </w:p>
    <w:p w14:paraId="7248F550" w14:textId="77777777" w:rsidR="00925F0C" w:rsidRPr="00925F0C" w:rsidRDefault="00925F0C" w:rsidP="00925F0C">
      <w:r w:rsidRPr="00925F0C">
        <w:t>This experiment applied unsupervised learning and statistical techniques to detect anomalies in Ontario’s power system data across four domains:</w:t>
      </w:r>
    </w:p>
    <w:p w14:paraId="73F7FDF7" w14:textId="77777777" w:rsidR="00925F0C" w:rsidRPr="00925F0C" w:rsidRDefault="00925F0C" w:rsidP="00925F0C">
      <w:r w:rsidRPr="00925F0C">
        <w:t>- Real-time demand (TORONTO) – Detected abnormal hourly usage using Isolation Forest.</w:t>
      </w:r>
    </w:p>
    <w:p w14:paraId="0BD6D482" w14:textId="77777777" w:rsidR="00925F0C" w:rsidRPr="00925F0C" w:rsidRDefault="00925F0C" w:rsidP="00925F0C">
      <w:r w:rsidRPr="00925F0C">
        <w:t>- Zonal price – Flagged daily price spikes via Z-score.</w:t>
      </w:r>
    </w:p>
    <w:p w14:paraId="4BA348BB" w14:textId="77777777" w:rsidR="00925F0C" w:rsidRPr="00925F0C" w:rsidRDefault="00925F0C" w:rsidP="00925F0C">
      <w:r w:rsidRPr="00925F0C">
        <w:t>- Dispatch deviations – Identified high operator intervention months using 2-sigma thresholding.</w:t>
      </w:r>
    </w:p>
    <w:p w14:paraId="522A0F0A" w14:textId="77777777" w:rsidR="00925F0C" w:rsidRPr="00925F0C" w:rsidRDefault="00925F0C" w:rsidP="00925F0C">
      <w:r w:rsidRPr="00925F0C">
        <w:lastRenderedPageBreak/>
        <w:t>- Transmission outages – Spotted days with unusual outage concentrations.</w:t>
      </w:r>
    </w:p>
    <w:p w14:paraId="711081A2" w14:textId="328FDC0F" w:rsidR="00925F0C" w:rsidRPr="00925F0C" w:rsidRDefault="00925F0C" w:rsidP="00925F0C">
      <w:r w:rsidRPr="00925F0C">
        <w:t>- It highlights how combining multiple data layers can uncover operational stress, system instability, or forecasting gaps in smart grid environments.</w:t>
      </w:r>
    </w:p>
    <w:p w14:paraId="3473A0AA" w14:textId="77777777" w:rsidR="00925F0C" w:rsidRPr="00925F0C" w:rsidRDefault="00925F0C" w:rsidP="00925F0C">
      <w:pPr>
        <w:rPr>
          <w:b/>
          <w:bCs/>
        </w:rPr>
      </w:pPr>
      <w:r w:rsidRPr="00925F0C">
        <w:rPr>
          <w:b/>
          <w:bCs/>
        </w:rPr>
        <w:t>Limitations</w:t>
      </w:r>
    </w:p>
    <w:p w14:paraId="52E759BF" w14:textId="77777777" w:rsidR="00925F0C" w:rsidRPr="00925F0C" w:rsidRDefault="00925F0C" w:rsidP="00925F0C">
      <w:pPr>
        <w:numPr>
          <w:ilvl w:val="0"/>
          <w:numId w:val="6"/>
        </w:numPr>
      </w:pPr>
      <w:r w:rsidRPr="00925F0C">
        <w:rPr>
          <w:b/>
          <w:bCs/>
        </w:rPr>
        <w:t>No per-zone price data</w:t>
      </w:r>
      <w:r w:rsidRPr="00925F0C">
        <w:t>: Price anomalies reflect province-level, not zonal, variations.</w:t>
      </w:r>
    </w:p>
    <w:p w14:paraId="106AD2E0" w14:textId="77777777" w:rsidR="00925F0C" w:rsidRPr="00925F0C" w:rsidRDefault="00925F0C" w:rsidP="00925F0C">
      <w:pPr>
        <w:numPr>
          <w:ilvl w:val="0"/>
          <w:numId w:val="6"/>
        </w:numPr>
      </w:pPr>
      <w:r w:rsidRPr="00925F0C">
        <w:rPr>
          <w:b/>
          <w:bCs/>
        </w:rPr>
        <w:t>Dispatch data is monthly</w:t>
      </w:r>
      <w:r w:rsidRPr="00925F0C">
        <w:t>: Lacks timestamp granularity for precise event correlation.</w:t>
      </w:r>
    </w:p>
    <w:p w14:paraId="6D2890B9" w14:textId="77777777" w:rsidR="00925F0C" w:rsidRPr="00925F0C" w:rsidRDefault="00925F0C" w:rsidP="00925F0C">
      <w:pPr>
        <w:numPr>
          <w:ilvl w:val="0"/>
          <w:numId w:val="6"/>
        </w:numPr>
      </w:pPr>
      <w:r w:rsidRPr="00925F0C">
        <w:rPr>
          <w:b/>
          <w:bCs/>
        </w:rPr>
        <w:t>Outages are planned, not real-time</w:t>
      </w:r>
      <w:r w:rsidRPr="00925F0C">
        <w:t>: Limits the detection of spontaneous grid failures.</w:t>
      </w:r>
    </w:p>
    <w:p w14:paraId="4844EFA2" w14:textId="77777777" w:rsidR="00925F0C" w:rsidRDefault="00925F0C" w:rsidP="00925F0C">
      <w:pPr>
        <w:numPr>
          <w:ilvl w:val="0"/>
          <w:numId w:val="6"/>
        </w:numPr>
      </w:pPr>
      <w:r w:rsidRPr="00925F0C">
        <w:rPr>
          <w:b/>
          <w:bCs/>
        </w:rPr>
        <w:t>No ground truth labels</w:t>
      </w:r>
      <w:r w:rsidRPr="00925F0C">
        <w:t>: Detected anomalies are statistical, not validated against actual events or failures.</w:t>
      </w:r>
    </w:p>
    <w:p w14:paraId="05D236FB" w14:textId="77777777" w:rsidR="005D5269" w:rsidRDefault="005D5269" w:rsidP="005D5269"/>
    <w:p w14:paraId="3634C467" w14:textId="77777777" w:rsidR="005D5269" w:rsidRPr="005D5269" w:rsidRDefault="005D5269" w:rsidP="005D5269">
      <w:pPr>
        <w:rPr>
          <w:b/>
          <w:bCs/>
        </w:rPr>
      </w:pPr>
      <w:r w:rsidRPr="005D5269">
        <w:rPr>
          <w:b/>
          <w:bCs/>
        </w:rPr>
        <w:t>Integrated Understanding from All Experiments Conducted</w:t>
      </w:r>
    </w:p>
    <w:p w14:paraId="215F7252" w14:textId="77777777" w:rsidR="005D5269" w:rsidRPr="005D5269" w:rsidRDefault="005D5269" w:rsidP="005D5269">
      <w:r w:rsidRPr="005D5269">
        <w:t xml:space="preserve">Across Experiments 2, 3, 6, and 10, you've built a multi-layered view of </w:t>
      </w:r>
      <w:r w:rsidRPr="005D5269">
        <w:rPr>
          <w:b/>
          <w:bCs/>
        </w:rPr>
        <w:t>Ontario's Smart Grid performance, stress, and uncertainty</w:t>
      </w:r>
      <w:r w:rsidRPr="005D5269">
        <w:t xml:space="preserve"> by analyzing demand, price, dispatch behavior, outages, forecasts, and adequacy. Here's the synthesis:</w:t>
      </w:r>
    </w:p>
    <w:p w14:paraId="7F99D932" w14:textId="77777777" w:rsidR="005D5269" w:rsidRDefault="005D5269" w:rsidP="005D5269"/>
    <w:p w14:paraId="40F3FB44" w14:textId="77777777" w:rsidR="005D5269" w:rsidRPr="005D5269" w:rsidRDefault="005D5269" w:rsidP="005D5269">
      <w:pPr>
        <w:rPr>
          <w:b/>
          <w:bCs/>
        </w:rPr>
      </w:pPr>
      <w:r w:rsidRPr="005D5269">
        <w:rPr>
          <w:b/>
          <w:bCs/>
        </w:rPr>
        <w:t>Summary of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2011"/>
        <w:gridCol w:w="3544"/>
        <w:gridCol w:w="2475"/>
      </w:tblGrid>
      <w:tr w:rsidR="005D5269" w:rsidRPr="005D5269" w14:paraId="064A2531" w14:textId="77777777" w:rsidTr="005D5269">
        <w:trPr>
          <w:tblHeader/>
          <w:tblCellSpacing w:w="15" w:type="dxa"/>
        </w:trPr>
        <w:tc>
          <w:tcPr>
            <w:tcW w:w="0" w:type="auto"/>
            <w:vAlign w:val="center"/>
            <w:hideMark/>
          </w:tcPr>
          <w:p w14:paraId="6AFB26E2" w14:textId="77777777" w:rsidR="005D5269" w:rsidRPr="005D5269" w:rsidRDefault="005D5269" w:rsidP="005D5269">
            <w:pPr>
              <w:rPr>
                <w:b/>
                <w:bCs/>
              </w:rPr>
            </w:pPr>
            <w:r w:rsidRPr="005D5269">
              <w:rPr>
                <w:b/>
                <w:bCs/>
              </w:rPr>
              <w:t>Experiment</w:t>
            </w:r>
          </w:p>
        </w:tc>
        <w:tc>
          <w:tcPr>
            <w:tcW w:w="0" w:type="auto"/>
            <w:vAlign w:val="center"/>
            <w:hideMark/>
          </w:tcPr>
          <w:p w14:paraId="400F9B5F" w14:textId="77777777" w:rsidR="005D5269" w:rsidRPr="005D5269" w:rsidRDefault="005D5269" w:rsidP="005D5269">
            <w:pPr>
              <w:rPr>
                <w:b/>
                <w:bCs/>
              </w:rPr>
            </w:pPr>
            <w:r w:rsidRPr="005D5269">
              <w:rPr>
                <w:b/>
                <w:bCs/>
              </w:rPr>
              <w:t>Focus Area</w:t>
            </w:r>
          </w:p>
        </w:tc>
        <w:tc>
          <w:tcPr>
            <w:tcW w:w="0" w:type="auto"/>
            <w:vAlign w:val="center"/>
            <w:hideMark/>
          </w:tcPr>
          <w:p w14:paraId="31C85B50" w14:textId="77777777" w:rsidR="005D5269" w:rsidRPr="005D5269" w:rsidRDefault="005D5269" w:rsidP="005D5269">
            <w:pPr>
              <w:rPr>
                <w:b/>
                <w:bCs/>
              </w:rPr>
            </w:pPr>
            <w:r w:rsidRPr="005D5269">
              <w:rPr>
                <w:b/>
                <w:bCs/>
              </w:rPr>
              <w:t>Key Metrics</w:t>
            </w:r>
          </w:p>
        </w:tc>
        <w:tc>
          <w:tcPr>
            <w:tcW w:w="0" w:type="auto"/>
            <w:vAlign w:val="center"/>
            <w:hideMark/>
          </w:tcPr>
          <w:p w14:paraId="6E63D0B2" w14:textId="77777777" w:rsidR="005D5269" w:rsidRPr="005D5269" w:rsidRDefault="005D5269" w:rsidP="005D5269">
            <w:pPr>
              <w:rPr>
                <w:b/>
                <w:bCs/>
              </w:rPr>
            </w:pPr>
            <w:r w:rsidRPr="005D5269">
              <w:rPr>
                <w:b/>
                <w:bCs/>
              </w:rPr>
              <w:t>Purpose</w:t>
            </w:r>
          </w:p>
        </w:tc>
      </w:tr>
      <w:tr w:rsidR="005D5269" w:rsidRPr="005D5269" w14:paraId="1A139777" w14:textId="77777777" w:rsidTr="005D5269">
        <w:trPr>
          <w:tblCellSpacing w:w="15" w:type="dxa"/>
        </w:trPr>
        <w:tc>
          <w:tcPr>
            <w:tcW w:w="0" w:type="auto"/>
            <w:vAlign w:val="center"/>
            <w:hideMark/>
          </w:tcPr>
          <w:p w14:paraId="65818B43" w14:textId="77777777" w:rsidR="005D5269" w:rsidRPr="005D5269" w:rsidRDefault="005D5269" w:rsidP="005D5269">
            <w:r w:rsidRPr="005D5269">
              <w:rPr>
                <w:b/>
                <w:bCs/>
              </w:rPr>
              <w:t>2</w:t>
            </w:r>
          </w:p>
        </w:tc>
        <w:tc>
          <w:tcPr>
            <w:tcW w:w="0" w:type="auto"/>
            <w:vAlign w:val="center"/>
            <w:hideMark/>
          </w:tcPr>
          <w:p w14:paraId="35C8679A" w14:textId="77777777" w:rsidR="005D5269" w:rsidRPr="005D5269" w:rsidRDefault="005D5269" w:rsidP="005D5269">
            <w:r w:rsidRPr="005D5269">
              <w:t>Zonal Anomaly Detection</w:t>
            </w:r>
          </w:p>
        </w:tc>
        <w:tc>
          <w:tcPr>
            <w:tcW w:w="0" w:type="auto"/>
            <w:vAlign w:val="center"/>
            <w:hideMark/>
          </w:tcPr>
          <w:p w14:paraId="643B45C0" w14:textId="77777777" w:rsidR="005D5269" w:rsidRPr="005D5269" w:rsidRDefault="005D5269" w:rsidP="005D5269">
            <w:r w:rsidRPr="005D5269">
              <w:t>Demand spikes, price anomalies, dispatch deviations, outage bursts</w:t>
            </w:r>
          </w:p>
        </w:tc>
        <w:tc>
          <w:tcPr>
            <w:tcW w:w="0" w:type="auto"/>
            <w:vAlign w:val="center"/>
            <w:hideMark/>
          </w:tcPr>
          <w:p w14:paraId="50EFC98A" w14:textId="77777777" w:rsidR="005D5269" w:rsidRPr="005D5269" w:rsidRDefault="005D5269" w:rsidP="005D5269">
            <w:r w:rsidRPr="005D5269">
              <w:t>Identify operational anomalies</w:t>
            </w:r>
          </w:p>
        </w:tc>
      </w:tr>
      <w:tr w:rsidR="005D5269" w:rsidRPr="005D5269" w14:paraId="6D6D5450" w14:textId="77777777" w:rsidTr="005D5269">
        <w:trPr>
          <w:tblCellSpacing w:w="15" w:type="dxa"/>
        </w:trPr>
        <w:tc>
          <w:tcPr>
            <w:tcW w:w="0" w:type="auto"/>
            <w:vAlign w:val="center"/>
            <w:hideMark/>
          </w:tcPr>
          <w:p w14:paraId="7CA66C05" w14:textId="77777777" w:rsidR="005D5269" w:rsidRPr="005D5269" w:rsidRDefault="005D5269" w:rsidP="005D5269">
            <w:r w:rsidRPr="005D5269">
              <w:rPr>
                <w:b/>
                <w:bCs/>
              </w:rPr>
              <w:t>3</w:t>
            </w:r>
          </w:p>
        </w:tc>
        <w:tc>
          <w:tcPr>
            <w:tcW w:w="0" w:type="auto"/>
            <w:vAlign w:val="center"/>
            <w:hideMark/>
          </w:tcPr>
          <w:p w14:paraId="178AFA13" w14:textId="77777777" w:rsidR="005D5269" w:rsidRPr="005D5269" w:rsidRDefault="005D5269" w:rsidP="005D5269">
            <w:r w:rsidRPr="005D5269">
              <w:t>Operational Resilience Metric</w:t>
            </w:r>
          </w:p>
        </w:tc>
        <w:tc>
          <w:tcPr>
            <w:tcW w:w="0" w:type="auto"/>
            <w:vAlign w:val="center"/>
            <w:hideMark/>
          </w:tcPr>
          <w:p w14:paraId="49A860ED" w14:textId="77777777" w:rsidR="005D5269" w:rsidRPr="005D5269" w:rsidRDefault="005D5269" w:rsidP="005D5269">
            <w:r w:rsidRPr="005D5269">
              <w:t>Total dispatch deviations, outage count, adequacy shortfall</w:t>
            </w:r>
          </w:p>
        </w:tc>
        <w:tc>
          <w:tcPr>
            <w:tcW w:w="0" w:type="auto"/>
            <w:vAlign w:val="center"/>
            <w:hideMark/>
          </w:tcPr>
          <w:p w14:paraId="5B9B3C83" w14:textId="77777777" w:rsidR="005D5269" w:rsidRPr="005D5269" w:rsidRDefault="005D5269" w:rsidP="005D5269">
            <w:r w:rsidRPr="005D5269">
              <w:t>Rate system resilience month-wise</w:t>
            </w:r>
          </w:p>
        </w:tc>
      </w:tr>
      <w:tr w:rsidR="005D5269" w:rsidRPr="005D5269" w14:paraId="121331E6" w14:textId="77777777" w:rsidTr="005D5269">
        <w:trPr>
          <w:tblCellSpacing w:w="15" w:type="dxa"/>
        </w:trPr>
        <w:tc>
          <w:tcPr>
            <w:tcW w:w="0" w:type="auto"/>
            <w:vAlign w:val="center"/>
            <w:hideMark/>
          </w:tcPr>
          <w:p w14:paraId="16488264" w14:textId="77777777" w:rsidR="005D5269" w:rsidRPr="005D5269" w:rsidRDefault="005D5269" w:rsidP="005D5269">
            <w:r w:rsidRPr="005D5269">
              <w:rPr>
                <w:b/>
                <w:bCs/>
              </w:rPr>
              <w:t>6</w:t>
            </w:r>
          </w:p>
        </w:tc>
        <w:tc>
          <w:tcPr>
            <w:tcW w:w="0" w:type="auto"/>
            <w:vAlign w:val="center"/>
            <w:hideMark/>
          </w:tcPr>
          <w:p w14:paraId="76BEFD95" w14:textId="77777777" w:rsidR="005D5269" w:rsidRPr="005D5269" w:rsidRDefault="005D5269" w:rsidP="005D5269">
            <w:r w:rsidRPr="005D5269">
              <w:t>Forecast Error Analysis</w:t>
            </w:r>
          </w:p>
        </w:tc>
        <w:tc>
          <w:tcPr>
            <w:tcW w:w="0" w:type="auto"/>
            <w:vAlign w:val="center"/>
            <w:hideMark/>
          </w:tcPr>
          <w:p w14:paraId="1813335E" w14:textId="77777777" w:rsidR="005D5269" w:rsidRPr="005D5269" w:rsidRDefault="005D5269" w:rsidP="005D5269">
            <w:r w:rsidRPr="005D5269">
              <w:t>Real demand vs. VG/SBG forecast error</w:t>
            </w:r>
          </w:p>
        </w:tc>
        <w:tc>
          <w:tcPr>
            <w:tcW w:w="0" w:type="auto"/>
            <w:vAlign w:val="center"/>
            <w:hideMark/>
          </w:tcPr>
          <w:p w14:paraId="33A668E7" w14:textId="77777777" w:rsidR="005D5269" w:rsidRPr="005D5269" w:rsidRDefault="005D5269" w:rsidP="005D5269">
            <w:r w:rsidRPr="005D5269">
              <w:t>Reveal uncertainty in generation planning</w:t>
            </w:r>
          </w:p>
        </w:tc>
      </w:tr>
      <w:tr w:rsidR="005D5269" w:rsidRPr="005D5269" w14:paraId="01F61A12" w14:textId="77777777" w:rsidTr="005D5269">
        <w:trPr>
          <w:tblCellSpacing w:w="15" w:type="dxa"/>
        </w:trPr>
        <w:tc>
          <w:tcPr>
            <w:tcW w:w="0" w:type="auto"/>
            <w:vAlign w:val="center"/>
            <w:hideMark/>
          </w:tcPr>
          <w:p w14:paraId="056DFF14" w14:textId="77777777" w:rsidR="005D5269" w:rsidRPr="005D5269" w:rsidRDefault="005D5269" w:rsidP="005D5269">
            <w:r w:rsidRPr="005D5269">
              <w:rPr>
                <w:b/>
                <w:bCs/>
              </w:rPr>
              <w:t>10</w:t>
            </w:r>
          </w:p>
        </w:tc>
        <w:tc>
          <w:tcPr>
            <w:tcW w:w="0" w:type="auto"/>
            <w:vAlign w:val="center"/>
            <w:hideMark/>
          </w:tcPr>
          <w:p w14:paraId="67DF506B" w14:textId="77777777" w:rsidR="005D5269" w:rsidRPr="005D5269" w:rsidRDefault="005D5269" w:rsidP="005D5269">
            <w:r w:rsidRPr="005D5269">
              <w:t>Forecast Uncertainty Zones</w:t>
            </w:r>
          </w:p>
        </w:tc>
        <w:tc>
          <w:tcPr>
            <w:tcW w:w="0" w:type="auto"/>
            <w:vAlign w:val="center"/>
            <w:hideMark/>
          </w:tcPr>
          <w:p w14:paraId="7D1D14E0" w14:textId="77777777" w:rsidR="005D5269" w:rsidRPr="005D5269" w:rsidRDefault="005D5269" w:rsidP="005D5269">
            <w:r w:rsidRPr="005D5269">
              <w:t>Demand vs. VG &amp; SBG forecasts</w:t>
            </w:r>
          </w:p>
        </w:tc>
        <w:tc>
          <w:tcPr>
            <w:tcW w:w="0" w:type="auto"/>
            <w:vAlign w:val="center"/>
            <w:hideMark/>
          </w:tcPr>
          <w:p w14:paraId="5FB6C6D1" w14:textId="77777777" w:rsidR="005D5269" w:rsidRPr="005D5269" w:rsidRDefault="005D5269" w:rsidP="005D5269">
            <w:r w:rsidRPr="005D5269">
              <w:t>Compare forecasting robustness by zone</w:t>
            </w:r>
          </w:p>
        </w:tc>
      </w:tr>
    </w:tbl>
    <w:p w14:paraId="7FB95508" w14:textId="77777777" w:rsidR="00DC19C7" w:rsidRPr="00DC19C7" w:rsidRDefault="00DC19C7" w:rsidP="00DC19C7">
      <w:pPr>
        <w:numPr>
          <w:ilvl w:val="0"/>
          <w:numId w:val="7"/>
        </w:numPr>
      </w:pPr>
      <w:r w:rsidRPr="00DC19C7">
        <w:rPr>
          <w:b/>
          <w:bCs/>
        </w:rPr>
        <w:lastRenderedPageBreak/>
        <w:t>Grid operations are vulnerable to different stressors</w:t>
      </w:r>
      <w:r w:rsidRPr="00DC19C7">
        <w:br/>
        <w:t>Demand surges, renewable generation mismatch, operator intervention frequency, and infrastructure outages all contribute to operational risk.</w:t>
      </w:r>
    </w:p>
    <w:p w14:paraId="0400128A" w14:textId="77777777" w:rsidR="00DC19C7" w:rsidRPr="00DC19C7" w:rsidRDefault="00DC19C7" w:rsidP="00DC19C7">
      <w:pPr>
        <w:numPr>
          <w:ilvl w:val="0"/>
          <w:numId w:val="7"/>
        </w:numPr>
      </w:pPr>
      <w:r w:rsidRPr="00DC19C7">
        <w:rPr>
          <w:b/>
          <w:bCs/>
        </w:rPr>
        <w:t>Anomaly patterns are not uniform across zones</w:t>
      </w:r>
    </w:p>
    <w:p w14:paraId="11D3EAB6" w14:textId="77777777" w:rsidR="00DC19C7" w:rsidRPr="00DC19C7" w:rsidRDefault="00DC19C7" w:rsidP="00DC19C7">
      <w:pPr>
        <w:numPr>
          <w:ilvl w:val="1"/>
          <w:numId w:val="7"/>
        </w:numPr>
      </w:pPr>
      <w:r w:rsidRPr="00DC19C7">
        <w:t>TORONTO and NORTHEAST had notable demand or forecast anomalies.</w:t>
      </w:r>
    </w:p>
    <w:p w14:paraId="09E012E6" w14:textId="77777777" w:rsidR="00DC19C7" w:rsidRPr="00DC19C7" w:rsidRDefault="00DC19C7" w:rsidP="00DC19C7">
      <w:pPr>
        <w:numPr>
          <w:ilvl w:val="1"/>
          <w:numId w:val="7"/>
        </w:numPr>
      </w:pPr>
      <w:r w:rsidRPr="00DC19C7">
        <w:t>BRUCE had severe VG forecast errors, suggesting renewable volatility.</w:t>
      </w:r>
    </w:p>
    <w:p w14:paraId="7441BFAB" w14:textId="77777777" w:rsidR="00DC19C7" w:rsidRPr="00DC19C7" w:rsidRDefault="00DC19C7" w:rsidP="00DC19C7">
      <w:pPr>
        <w:numPr>
          <w:ilvl w:val="0"/>
          <w:numId w:val="7"/>
        </w:numPr>
      </w:pPr>
      <w:r w:rsidRPr="00DC19C7">
        <w:rPr>
          <w:b/>
          <w:bCs/>
        </w:rPr>
        <w:t>Forecasting remains a key challenge</w:t>
      </w:r>
      <w:r w:rsidRPr="00DC19C7">
        <w:br/>
        <w:t xml:space="preserve">Experiments 6 and 10 showed that </w:t>
      </w:r>
      <w:r w:rsidRPr="00DC19C7">
        <w:rPr>
          <w:b/>
          <w:bCs/>
        </w:rPr>
        <w:t>forecast errors (VG/SBG)</w:t>
      </w:r>
      <w:r w:rsidRPr="00DC19C7">
        <w:t xml:space="preserve"> are concentrated in some zones, indicating modeling gaps or generation variability.</w:t>
      </w:r>
    </w:p>
    <w:p w14:paraId="1962F337" w14:textId="77777777" w:rsidR="00DC19C7" w:rsidRPr="00DC19C7" w:rsidRDefault="00DC19C7" w:rsidP="00DC19C7">
      <w:pPr>
        <w:numPr>
          <w:ilvl w:val="0"/>
          <w:numId w:val="7"/>
        </w:numPr>
      </w:pPr>
      <w:r w:rsidRPr="00DC19C7">
        <w:rPr>
          <w:b/>
          <w:bCs/>
        </w:rPr>
        <w:t>Adequacy shortfalls are rare but meaningful</w:t>
      </w:r>
      <w:r w:rsidRPr="00DC19C7">
        <w:br/>
        <w:t xml:space="preserve">Even if adequacy shortfalls were low in your period, the fact that operator dispatch and outages were high indicates </w:t>
      </w:r>
      <w:r w:rsidRPr="00DC19C7">
        <w:rPr>
          <w:b/>
          <w:bCs/>
        </w:rPr>
        <w:t>hidden operational stress</w:t>
      </w:r>
      <w:r w:rsidRPr="00DC19C7">
        <w:t>.</w:t>
      </w:r>
    </w:p>
    <w:p w14:paraId="0F09A001" w14:textId="77777777" w:rsidR="005D5269" w:rsidRDefault="005D5269" w:rsidP="005D5269"/>
    <w:p w14:paraId="372E7623" w14:textId="77777777" w:rsidR="00925F0C" w:rsidRPr="00925F0C" w:rsidRDefault="00925F0C" w:rsidP="00925F0C"/>
    <w:p w14:paraId="3C8E4F00" w14:textId="77777777" w:rsidR="00925F0C" w:rsidRPr="006E2D38" w:rsidRDefault="00925F0C" w:rsidP="00925F0C"/>
    <w:p w14:paraId="013B57D0" w14:textId="77777777" w:rsidR="006E2D38" w:rsidRPr="00392D5A" w:rsidRDefault="006E2D38" w:rsidP="006E2D38"/>
    <w:p w14:paraId="6AEF8BE4" w14:textId="77777777" w:rsidR="00392D5A" w:rsidRDefault="00392D5A"/>
    <w:sectPr w:rsidR="00392D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CD6"/>
    <w:multiLevelType w:val="multilevel"/>
    <w:tmpl w:val="098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E5B56"/>
    <w:multiLevelType w:val="multilevel"/>
    <w:tmpl w:val="57C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F43D5"/>
    <w:multiLevelType w:val="multilevel"/>
    <w:tmpl w:val="173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850EC"/>
    <w:multiLevelType w:val="multilevel"/>
    <w:tmpl w:val="79D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F3A79"/>
    <w:multiLevelType w:val="multilevel"/>
    <w:tmpl w:val="DECA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834E92"/>
    <w:multiLevelType w:val="multilevel"/>
    <w:tmpl w:val="0F96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CF7924"/>
    <w:multiLevelType w:val="multilevel"/>
    <w:tmpl w:val="7CC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01441">
    <w:abstractNumId w:val="6"/>
  </w:num>
  <w:num w:numId="2" w16cid:durableId="731735903">
    <w:abstractNumId w:val="0"/>
  </w:num>
  <w:num w:numId="3" w16cid:durableId="1224291315">
    <w:abstractNumId w:val="3"/>
  </w:num>
  <w:num w:numId="4" w16cid:durableId="129523299">
    <w:abstractNumId w:val="2"/>
  </w:num>
  <w:num w:numId="5" w16cid:durableId="172233266">
    <w:abstractNumId w:val="4"/>
  </w:num>
  <w:num w:numId="6" w16cid:durableId="2122450548">
    <w:abstractNumId w:val="1"/>
  </w:num>
  <w:num w:numId="7" w16cid:durableId="980232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D8"/>
    <w:rsid w:val="002D4342"/>
    <w:rsid w:val="003113C2"/>
    <w:rsid w:val="00392D5A"/>
    <w:rsid w:val="0045244C"/>
    <w:rsid w:val="004E7BA3"/>
    <w:rsid w:val="005D5269"/>
    <w:rsid w:val="00606F9C"/>
    <w:rsid w:val="006E2D38"/>
    <w:rsid w:val="00925F0C"/>
    <w:rsid w:val="00971E2A"/>
    <w:rsid w:val="00A522D8"/>
    <w:rsid w:val="00AA651B"/>
    <w:rsid w:val="00DC19C7"/>
    <w:rsid w:val="00E64261"/>
    <w:rsid w:val="00E723D9"/>
    <w:rsid w:val="00EA11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74CF"/>
  <w15:chartTrackingRefBased/>
  <w15:docId w15:val="{37767507-6A34-4786-AF54-EC4847DB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D8"/>
    <w:rPr>
      <w:rFonts w:eastAsiaTheme="majorEastAsia" w:cstheme="majorBidi"/>
      <w:color w:val="272727" w:themeColor="text1" w:themeTint="D8"/>
    </w:rPr>
  </w:style>
  <w:style w:type="paragraph" w:styleId="Title">
    <w:name w:val="Title"/>
    <w:basedOn w:val="Normal"/>
    <w:next w:val="Normal"/>
    <w:link w:val="TitleChar"/>
    <w:uiPriority w:val="10"/>
    <w:qFormat/>
    <w:rsid w:val="00A52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D8"/>
    <w:pPr>
      <w:spacing w:before="160"/>
      <w:jc w:val="center"/>
    </w:pPr>
    <w:rPr>
      <w:i/>
      <w:iCs/>
      <w:color w:val="404040" w:themeColor="text1" w:themeTint="BF"/>
    </w:rPr>
  </w:style>
  <w:style w:type="character" w:customStyle="1" w:styleId="QuoteChar">
    <w:name w:val="Quote Char"/>
    <w:basedOn w:val="DefaultParagraphFont"/>
    <w:link w:val="Quote"/>
    <w:uiPriority w:val="29"/>
    <w:rsid w:val="00A522D8"/>
    <w:rPr>
      <w:i/>
      <w:iCs/>
      <w:color w:val="404040" w:themeColor="text1" w:themeTint="BF"/>
    </w:rPr>
  </w:style>
  <w:style w:type="paragraph" w:styleId="ListParagraph">
    <w:name w:val="List Paragraph"/>
    <w:basedOn w:val="Normal"/>
    <w:uiPriority w:val="34"/>
    <w:qFormat/>
    <w:rsid w:val="00A522D8"/>
    <w:pPr>
      <w:ind w:left="720"/>
      <w:contextualSpacing/>
    </w:pPr>
  </w:style>
  <w:style w:type="character" w:styleId="IntenseEmphasis">
    <w:name w:val="Intense Emphasis"/>
    <w:basedOn w:val="DefaultParagraphFont"/>
    <w:uiPriority w:val="21"/>
    <w:qFormat/>
    <w:rsid w:val="00A522D8"/>
    <w:rPr>
      <w:i/>
      <w:iCs/>
      <w:color w:val="0F4761" w:themeColor="accent1" w:themeShade="BF"/>
    </w:rPr>
  </w:style>
  <w:style w:type="paragraph" w:styleId="IntenseQuote">
    <w:name w:val="Intense Quote"/>
    <w:basedOn w:val="Normal"/>
    <w:next w:val="Normal"/>
    <w:link w:val="IntenseQuoteChar"/>
    <w:uiPriority w:val="30"/>
    <w:qFormat/>
    <w:rsid w:val="00A52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2D8"/>
    <w:rPr>
      <w:i/>
      <w:iCs/>
      <w:color w:val="0F4761" w:themeColor="accent1" w:themeShade="BF"/>
    </w:rPr>
  </w:style>
  <w:style w:type="character" w:styleId="IntenseReference">
    <w:name w:val="Intense Reference"/>
    <w:basedOn w:val="DefaultParagraphFont"/>
    <w:uiPriority w:val="32"/>
    <w:qFormat/>
    <w:rsid w:val="00A52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1781">
      <w:bodyDiv w:val="1"/>
      <w:marLeft w:val="0"/>
      <w:marRight w:val="0"/>
      <w:marTop w:val="0"/>
      <w:marBottom w:val="0"/>
      <w:divBdr>
        <w:top w:val="none" w:sz="0" w:space="0" w:color="auto"/>
        <w:left w:val="none" w:sz="0" w:space="0" w:color="auto"/>
        <w:bottom w:val="none" w:sz="0" w:space="0" w:color="auto"/>
        <w:right w:val="none" w:sz="0" w:space="0" w:color="auto"/>
      </w:divBdr>
    </w:div>
    <w:div w:id="229464588">
      <w:bodyDiv w:val="1"/>
      <w:marLeft w:val="0"/>
      <w:marRight w:val="0"/>
      <w:marTop w:val="0"/>
      <w:marBottom w:val="0"/>
      <w:divBdr>
        <w:top w:val="none" w:sz="0" w:space="0" w:color="auto"/>
        <w:left w:val="none" w:sz="0" w:space="0" w:color="auto"/>
        <w:bottom w:val="none" w:sz="0" w:space="0" w:color="auto"/>
        <w:right w:val="none" w:sz="0" w:space="0" w:color="auto"/>
      </w:divBdr>
    </w:div>
    <w:div w:id="231502887">
      <w:bodyDiv w:val="1"/>
      <w:marLeft w:val="0"/>
      <w:marRight w:val="0"/>
      <w:marTop w:val="0"/>
      <w:marBottom w:val="0"/>
      <w:divBdr>
        <w:top w:val="none" w:sz="0" w:space="0" w:color="auto"/>
        <w:left w:val="none" w:sz="0" w:space="0" w:color="auto"/>
        <w:bottom w:val="none" w:sz="0" w:space="0" w:color="auto"/>
        <w:right w:val="none" w:sz="0" w:space="0" w:color="auto"/>
      </w:divBdr>
    </w:div>
    <w:div w:id="253824041">
      <w:bodyDiv w:val="1"/>
      <w:marLeft w:val="0"/>
      <w:marRight w:val="0"/>
      <w:marTop w:val="0"/>
      <w:marBottom w:val="0"/>
      <w:divBdr>
        <w:top w:val="none" w:sz="0" w:space="0" w:color="auto"/>
        <w:left w:val="none" w:sz="0" w:space="0" w:color="auto"/>
        <w:bottom w:val="none" w:sz="0" w:space="0" w:color="auto"/>
        <w:right w:val="none" w:sz="0" w:space="0" w:color="auto"/>
      </w:divBdr>
    </w:div>
    <w:div w:id="270015890">
      <w:bodyDiv w:val="1"/>
      <w:marLeft w:val="0"/>
      <w:marRight w:val="0"/>
      <w:marTop w:val="0"/>
      <w:marBottom w:val="0"/>
      <w:divBdr>
        <w:top w:val="none" w:sz="0" w:space="0" w:color="auto"/>
        <w:left w:val="none" w:sz="0" w:space="0" w:color="auto"/>
        <w:bottom w:val="none" w:sz="0" w:space="0" w:color="auto"/>
        <w:right w:val="none" w:sz="0" w:space="0" w:color="auto"/>
      </w:divBdr>
    </w:div>
    <w:div w:id="298263570">
      <w:bodyDiv w:val="1"/>
      <w:marLeft w:val="0"/>
      <w:marRight w:val="0"/>
      <w:marTop w:val="0"/>
      <w:marBottom w:val="0"/>
      <w:divBdr>
        <w:top w:val="none" w:sz="0" w:space="0" w:color="auto"/>
        <w:left w:val="none" w:sz="0" w:space="0" w:color="auto"/>
        <w:bottom w:val="none" w:sz="0" w:space="0" w:color="auto"/>
        <w:right w:val="none" w:sz="0" w:space="0" w:color="auto"/>
      </w:divBdr>
    </w:div>
    <w:div w:id="396125087">
      <w:bodyDiv w:val="1"/>
      <w:marLeft w:val="0"/>
      <w:marRight w:val="0"/>
      <w:marTop w:val="0"/>
      <w:marBottom w:val="0"/>
      <w:divBdr>
        <w:top w:val="none" w:sz="0" w:space="0" w:color="auto"/>
        <w:left w:val="none" w:sz="0" w:space="0" w:color="auto"/>
        <w:bottom w:val="none" w:sz="0" w:space="0" w:color="auto"/>
        <w:right w:val="none" w:sz="0" w:space="0" w:color="auto"/>
      </w:divBdr>
    </w:div>
    <w:div w:id="531306891">
      <w:bodyDiv w:val="1"/>
      <w:marLeft w:val="0"/>
      <w:marRight w:val="0"/>
      <w:marTop w:val="0"/>
      <w:marBottom w:val="0"/>
      <w:divBdr>
        <w:top w:val="none" w:sz="0" w:space="0" w:color="auto"/>
        <w:left w:val="none" w:sz="0" w:space="0" w:color="auto"/>
        <w:bottom w:val="none" w:sz="0" w:space="0" w:color="auto"/>
        <w:right w:val="none" w:sz="0" w:space="0" w:color="auto"/>
      </w:divBdr>
    </w:div>
    <w:div w:id="555513232">
      <w:bodyDiv w:val="1"/>
      <w:marLeft w:val="0"/>
      <w:marRight w:val="0"/>
      <w:marTop w:val="0"/>
      <w:marBottom w:val="0"/>
      <w:divBdr>
        <w:top w:val="none" w:sz="0" w:space="0" w:color="auto"/>
        <w:left w:val="none" w:sz="0" w:space="0" w:color="auto"/>
        <w:bottom w:val="none" w:sz="0" w:space="0" w:color="auto"/>
        <w:right w:val="none" w:sz="0" w:space="0" w:color="auto"/>
      </w:divBdr>
    </w:div>
    <w:div w:id="586696882">
      <w:bodyDiv w:val="1"/>
      <w:marLeft w:val="0"/>
      <w:marRight w:val="0"/>
      <w:marTop w:val="0"/>
      <w:marBottom w:val="0"/>
      <w:divBdr>
        <w:top w:val="none" w:sz="0" w:space="0" w:color="auto"/>
        <w:left w:val="none" w:sz="0" w:space="0" w:color="auto"/>
        <w:bottom w:val="none" w:sz="0" w:space="0" w:color="auto"/>
        <w:right w:val="none" w:sz="0" w:space="0" w:color="auto"/>
      </w:divBdr>
    </w:div>
    <w:div w:id="606890505">
      <w:bodyDiv w:val="1"/>
      <w:marLeft w:val="0"/>
      <w:marRight w:val="0"/>
      <w:marTop w:val="0"/>
      <w:marBottom w:val="0"/>
      <w:divBdr>
        <w:top w:val="none" w:sz="0" w:space="0" w:color="auto"/>
        <w:left w:val="none" w:sz="0" w:space="0" w:color="auto"/>
        <w:bottom w:val="none" w:sz="0" w:space="0" w:color="auto"/>
        <w:right w:val="none" w:sz="0" w:space="0" w:color="auto"/>
      </w:divBdr>
    </w:div>
    <w:div w:id="616647431">
      <w:bodyDiv w:val="1"/>
      <w:marLeft w:val="0"/>
      <w:marRight w:val="0"/>
      <w:marTop w:val="0"/>
      <w:marBottom w:val="0"/>
      <w:divBdr>
        <w:top w:val="none" w:sz="0" w:space="0" w:color="auto"/>
        <w:left w:val="none" w:sz="0" w:space="0" w:color="auto"/>
        <w:bottom w:val="none" w:sz="0" w:space="0" w:color="auto"/>
        <w:right w:val="none" w:sz="0" w:space="0" w:color="auto"/>
      </w:divBdr>
    </w:div>
    <w:div w:id="695930311">
      <w:bodyDiv w:val="1"/>
      <w:marLeft w:val="0"/>
      <w:marRight w:val="0"/>
      <w:marTop w:val="0"/>
      <w:marBottom w:val="0"/>
      <w:divBdr>
        <w:top w:val="none" w:sz="0" w:space="0" w:color="auto"/>
        <w:left w:val="none" w:sz="0" w:space="0" w:color="auto"/>
        <w:bottom w:val="none" w:sz="0" w:space="0" w:color="auto"/>
        <w:right w:val="none" w:sz="0" w:space="0" w:color="auto"/>
      </w:divBdr>
    </w:div>
    <w:div w:id="730423389">
      <w:bodyDiv w:val="1"/>
      <w:marLeft w:val="0"/>
      <w:marRight w:val="0"/>
      <w:marTop w:val="0"/>
      <w:marBottom w:val="0"/>
      <w:divBdr>
        <w:top w:val="none" w:sz="0" w:space="0" w:color="auto"/>
        <w:left w:val="none" w:sz="0" w:space="0" w:color="auto"/>
        <w:bottom w:val="none" w:sz="0" w:space="0" w:color="auto"/>
        <w:right w:val="none" w:sz="0" w:space="0" w:color="auto"/>
      </w:divBdr>
    </w:div>
    <w:div w:id="799498909">
      <w:bodyDiv w:val="1"/>
      <w:marLeft w:val="0"/>
      <w:marRight w:val="0"/>
      <w:marTop w:val="0"/>
      <w:marBottom w:val="0"/>
      <w:divBdr>
        <w:top w:val="none" w:sz="0" w:space="0" w:color="auto"/>
        <w:left w:val="none" w:sz="0" w:space="0" w:color="auto"/>
        <w:bottom w:val="none" w:sz="0" w:space="0" w:color="auto"/>
        <w:right w:val="none" w:sz="0" w:space="0" w:color="auto"/>
      </w:divBdr>
    </w:div>
    <w:div w:id="880289486">
      <w:bodyDiv w:val="1"/>
      <w:marLeft w:val="0"/>
      <w:marRight w:val="0"/>
      <w:marTop w:val="0"/>
      <w:marBottom w:val="0"/>
      <w:divBdr>
        <w:top w:val="none" w:sz="0" w:space="0" w:color="auto"/>
        <w:left w:val="none" w:sz="0" w:space="0" w:color="auto"/>
        <w:bottom w:val="none" w:sz="0" w:space="0" w:color="auto"/>
        <w:right w:val="none" w:sz="0" w:space="0" w:color="auto"/>
      </w:divBdr>
    </w:div>
    <w:div w:id="978651254">
      <w:bodyDiv w:val="1"/>
      <w:marLeft w:val="0"/>
      <w:marRight w:val="0"/>
      <w:marTop w:val="0"/>
      <w:marBottom w:val="0"/>
      <w:divBdr>
        <w:top w:val="none" w:sz="0" w:space="0" w:color="auto"/>
        <w:left w:val="none" w:sz="0" w:space="0" w:color="auto"/>
        <w:bottom w:val="none" w:sz="0" w:space="0" w:color="auto"/>
        <w:right w:val="none" w:sz="0" w:space="0" w:color="auto"/>
      </w:divBdr>
    </w:div>
    <w:div w:id="994266055">
      <w:bodyDiv w:val="1"/>
      <w:marLeft w:val="0"/>
      <w:marRight w:val="0"/>
      <w:marTop w:val="0"/>
      <w:marBottom w:val="0"/>
      <w:divBdr>
        <w:top w:val="none" w:sz="0" w:space="0" w:color="auto"/>
        <w:left w:val="none" w:sz="0" w:space="0" w:color="auto"/>
        <w:bottom w:val="none" w:sz="0" w:space="0" w:color="auto"/>
        <w:right w:val="none" w:sz="0" w:space="0" w:color="auto"/>
      </w:divBdr>
    </w:div>
    <w:div w:id="1032926320">
      <w:bodyDiv w:val="1"/>
      <w:marLeft w:val="0"/>
      <w:marRight w:val="0"/>
      <w:marTop w:val="0"/>
      <w:marBottom w:val="0"/>
      <w:divBdr>
        <w:top w:val="none" w:sz="0" w:space="0" w:color="auto"/>
        <w:left w:val="none" w:sz="0" w:space="0" w:color="auto"/>
        <w:bottom w:val="none" w:sz="0" w:space="0" w:color="auto"/>
        <w:right w:val="none" w:sz="0" w:space="0" w:color="auto"/>
      </w:divBdr>
      <w:divsChild>
        <w:div w:id="869994722">
          <w:marLeft w:val="0"/>
          <w:marRight w:val="0"/>
          <w:marTop w:val="0"/>
          <w:marBottom w:val="0"/>
          <w:divBdr>
            <w:top w:val="none" w:sz="0" w:space="0" w:color="auto"/>
            <w:left w:val="none" w:sz="0" w:space="0" w:color="auto"/>
            <w:bottom w:val="none" w:sz="0" w:space="0" w:color="auto"/>
            <w:right w:val="none" w:sz="0" w:space="0" w:color="auto"/>
          </w:divBdr>
          <w:divsChild>
            <w:div w:id="19085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9600">
      <w:bodyDiv w:val="1"/>
      <w:marLeft w:val="0"/>
      <w:marRight w:val="0"/>
      <w:marTop w:val="0"/>
      <w:marBottom w:val="0"/>
      <w:divBdr>
        <w:top w:val="none" w:sz="0" w:space="0" w:color="auto"/>
        <w:left w:val="none" w:sz="0" w:space="0" w:color="auto"/>
        <w:bottom w:val="none" w:sz="0" w:space="0" w:color="auto"/>
        <w:right w:val="none" w:sz="0" w:space="0" w:color="auto"/>
      </w:divBdr>
    </w:div>
    <w:div w:id="1312711943">
      <w:bodyDiv w:val="1"/>
      <w:marLeft w:val="0"/>
      <w:marRight w:val="0"/>
      <w:marTop w:val="0"/>
      <w:marBottom w:val="0"/>
      <w:divBdr>
        <w:top w:val="none" w:sz="0" w:space="0" w:color="auto"/>
        <w:left w:val="none" w:sz="0" w:space="0" w:color="auto"/>
        <w:bottom w:val="none" w:sz="0" w:space="0" w:color="auto"/>
        <w:right w:val="none" w:sz="0" w:space="0" w:color="auto"/>
      </w:divBdr>
    </w:div>
    <w:div w:id="1444423592">
      <w:bodyDiv w:val="1"/>
      <w:marLeft w:val="0"/>
      <w:marRight w:val="0"/>
      <w:marTop w:val="0"/>
      <w:marBottom w:val="0"/>
      <w:divBdr>
        <w:top w:val="none" w:sz="0" w:space="0" w:color="auto"/>
        <w:left w:val="none" w:sz="0" w:space="0" w:color="auto"/>
        <w:bottom w:val="none" w:sz="0" w:space="0" w:color="auto"/>
        <w:right w:val="none" w:sz="0" w:space="0" w:color="auto"/>
      </w:divBdr>
    </w:div>
    <w:div w:id="1452824160">
      <w:bodyDiv w:val="1"/>
      <w:marLeft w:val="0"/>
      <w:marRight w:val="0"/>
      <w:marTop w:val="0"/>
      <w:marBottom w:val="0"/>
      <w:divBdr>
        <w:top w:val="none" w:sz="0" w:space="0" w:color="auto"/>
        <w:left w:val="none" w:sz="0" w:space="0" w:color="auto"/>
        <w:bottom w:val="none" w:sz="0" w:space="0" w:color="auto"/>
        <w:right w:val="none" w:sz="0" w:space="0" w:color="auto"/>
      </w:divBdr>
    </w:div>
    <w:div w:id="1459882952">
      <w:bodyDiv w:val="1"/>
      <w:marLeft w:val="0"/>
      <w:marRight w:val="0"/>
      <w:marTop w:val="0"/>
      <w:marBottom w:val="0"/>
      <w:divBdr>
        <w:top w:val="none" w:sz="0" w:space="0" w:color="auto"/>
        <w:left w:val="none" w:sz="0" w:space="0" w:color="auto"/>
        <w:bottom w:val="none" w:sz="0" w:space="0" w:color="auto"/>
        <w:right w:val="none" w:sz="0" w:space="0" w:color="auto"/>
      </w:divBdr>
      <w:divsChild>
        <w:div w:id="1251357502">
          <w:marLeft w:val="0"/>
          <w:marRight w:val="0"/>
          <w:marTop w:val="0"/>
          <w:marBottom w:val="0"/>
          <w:divBdr>
            <w:top w:val="none" w:sz="0" w:space="0" w:color="auto"/>
            <w:left w:val="none" w:sz="0" w:space="0" w:color="auto"/>
            <w:bottom w:val="none" w:sz="0" w:space="0" w:color="auto"/>
            <w:right w:val="none" w:sz="0" w:space="0" w:color="auto"/>
          </w:divBdr>
          <w:divsChild>
            <w:div w:id="19845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1525">
      <w:bodyDiv w:val="1"/>
      <w:marLeft w:val="0"/>
      <w:marRight w:val="0"/>
      <w:marTop w:val="0"/>
      <w:marBottom w:val="0"/>
      <w:divBdr>
        <w:top w:val="none" w:sz="0" w:space="0" w:color="auto"/>
        <w:left w:val="none" w:sz="0" w:space="0" w:color="auto"/>
        <w:bottom w:val="none" w:sz="0" w:space="0" w:color="auto"/>
        <w:right w:val="none" w:sz="0" w:space="0" w:color="auto"/>
      </w:divBdr>
    </w:div>
    <w:div w:id="1782918065">
      <w:bodyDiv w:val="1"/>
      <w:marLeft w:val="0"/>
      <w:marRight w:val="0"/>
      <w:marTop w:val="0"/>
      <w:marBottom w:val="0"/>
      <w:divBdr>
        <w:top w:val="none" w:sz="0" w:space="0" w:color="auto"/>
        <w:left w:val="none" w:sz="0" w:space="0" w:color="auto"/>
        <w:bottom w:val="none" w:sz="0" w:space="0" w:color="auto"/>
        <w:right w:val="none" w:sz="0" w:space="0" w:color="auto"/>
      </w:divBdr>
    </w:div>
    <w:div w:id="1845313683">
      <w:bodyDiv w:val="1"/>
      <w:marLeft w:val="0"/>
      <w:marRight w:val="0"/>
      <w:marTop w:val="0"/>
      <w:marBottom w:val="0"/>
      <w:divBdr>
        <w:top w:val="none" w:sz="0" w:space="0" w:color="auto"/>
        <w:left w:val="none" w:sz="0" w:space="0" w:color="auto"/>
        <w:bottom w:val="none" w:sz="0" w:space="0" w:color="auto"/>
        <w:right w:val="none" w:sz="0" w:space="0" w:color="auto"/>
      </w:divBdr>
    </w:div>
    <w:div w:id="1853909612">
      <w:bodyDiv w:val="1"/>
      <w:marLeft w:val="0"/>
      <w:marRight w:val="0"/>
      <w:marTop w:val="0"/>
      <w:marBottom w:val="0"/>
      <w:divBdr>
        <w:top w:val="none" w:sz="0" w:space="0" w:color="auto"/>
        <w:left w:val="none" w:sz="0" w:space="0" w:color="auto"/>
        <w:bottom w:val="none" w:sz="0" w:space="0" w:color="auto"/>
        <w:right w:val="none" w:sz="0" w:space="0" w:color="auto"/>
      </w:divBdr>
    </w:div>
    <w:div w:id="1930967913">
      <w:bodyDiv w:val="1"/>
      <w:marLeft w:val="0"/>
      <w:marRight w:val="0"/>
      <w:marTop w:val="0"/>
      <w:marBottom w:val="0"/>
      <w:divBdr>
        <w:top w:val="none" w:sz="0" w:space="0" w:color="auto"/>
        <w:left w:val="none" w:sz="0" w:space="0" w:color="auto"/>
        <w:bottom w:val="none" w:sz="0" w:space="0" w:color="auto"/>
        <w:right w:val="none" w:sz="0" w:space="0" w:color="auto"/>
      </w:divBdr>
    </w:div>
    <w:div w:id="2089304612">
      <w:bodyDiv w:val="1"/>
      <w:marLeft w:val="0"/>
      <w:marRight w:val="0"/>
      <w:marTop w:val="0"/>
      <w:marBottom w:val="0"/>
      <w:divBdr>
        <w:top w:val="none" w:sz="0" w:space="0" w:color="auto"/>
        <w:left w:val="none" w:sz="0" w:space="0" w:color="auto"/>
        <w:bottom w:val="none" w:sz="0" w:space="0" w:color="auto"/>
        <w:right w:val="none" w:sz="0" w:space="0" w:color="auto"/>
      </w:divBdr>
    </w:div>
    <w:div w:id="2130277729">
      <w:bodyDiv w:val="1"/>
      <w:marLeft w:val="0"/>
      <w:marRight w:val="0"/>
      <w:marTop w:val="0"/>
      <w:marBottom w:val="0"/>
      <w:divBdr>
        <w:top w:val="none" w:sz="0" w:space="0" w:color="auto"/>
        <w:left w:val="none" w:sz="0" w:space="0" w:color="auto"/>
        <w:bottom w:val="none" w:sz="0" w:space="0" w:color="auto"/>
        <w:right w:val="none" w:sz="0" w:space="0" w:color="auto"/>
      </w:divBdr>
    </w:div>
    <w:div w:id="213760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P</dc:creator>
  <cp:keywords/>
  <dc:description/>
  <cp:lastModifiedBy>Shraddha P</cp:lastModifiedBy>
  <cp:revision>2</cp:revision>
  <dcterms:created xsi:type="dcterms:W3CDTF">2025-07-04T01:36:00Z</dcterms:created>
  <dcterms:modified xsi:type="dcterms:W3CDTF">2025-07-14T06:15:00Z</dcterms:modified>
</cp:coreProperties>
</file>