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val="0"/>
          <w:spacing w:val="0"/>
          <w:kern w:val="0"/>
          <w:sz w:val="22"/>
          <w:szCs w:val="24"/>
        </w:rPr>
        <w:id w:val="-912861098"/>
        <w:docPartObj>
          <w:docPartGallery w:val="Cover Pages"/>
          <w:docPartUnique/>
        </w:docPartObj>
      </w:sdtPr>
      <w:sdtContent>
        <w:p w14:paraId="5C92CEFA" w14:textId="57E999A3" w:rsidR="00D44B35" w:rsidRPr="00D44B35" w:rsidRDefault="00D70AA0" w:rsidP="00D44B35">
          <w:pPr>
            <w:pStyle w:val="Title"/>
            <w:ind w:right="1705"/>
          </w:pPr>
          <w:r>
            <w:rPr>
              <w:noProof/>
              <w:lang w:val="en-US"/>
            </w:rPr>
            <w:drawing>
              <wp:anchor distT="0" distB="0" distL="114300" distR="114300" simplePos="0" relativeHeight="251658240" behindDoc="1" locked="0" layoutInCell="1" allowOverlap="1" wp14:anchorId="7E7DB674" wp14:editId="21551E27">
                <wp:simplePos x="0" y="0"/>
                <wp:positionH relativeFrom="page">
                  <wp:posOffset>0</wp:posOffset>
                </wp:positionH>
                <wp:positionV relativeFrom="paragraph">
                  <wp:posOffset>-1363980</wp:posOffset>
                </wp:positionV>
                <wp:extent cx="7772400" cy="10058400"/>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44B35" w:rsidRPr="00D44B35">
            <w:t>Smart Grid Investment Readiness Scorecard for Ontario Zones</w:t>
          </w:r>
        </w:p>
        <w:p w14:paraId="69B25E9A" w14:textId="77777777" w:rsidR="00D44B35" w:rsidRPr="00D44B35" w:rsidRDefault="00D44B35">
          <w:pPr>
            <w:spacing w:after="0" w:line="240" w:lineRule="auto"/>
            <w:rPr>
              <w:spacing w:val="15"/>
              <w:sz w:val="32"/>
              <w:szCs w:val="32"/>
            </w:rPr>
          </w:pPr>
          <w:r w:rsidRPr="00D44B35">
            <w:rPr>
              <w:spacing w:val="15"/>
              <w:sz w:val="32"/>
              <w:szCs w:val="32"/>
            </w:rPr>
            <w:t xml:space="preserve">Shraddha </w:t>
          </w:r>
          <w:proofErr w:type="spellStart"/>
          <w:r w:rsidRPr="00D44B35">
            <w:rPr>
              <w:spacing w:val="15"/>
              <w:sz w:val="32"/>
              <w:szCs w:val="32"/>
            </w:rPr>
            <w:t>Padwekar</w:t>
          </w:r>
          <w:proofErr w:type="spellEnd"/>
          <w:r w:rsidRPr="00D44B35">
            <w:rPr>
              <w:spacing w:val="15"/>
              <w:sz w:val="32"/>
              <w:szCs w:val="32"/>
            </w:rPr>
            <w:t xml:space="preserve"> </w:t>
          </w:r>
        </w:p>
        <w:p w14:paraId="1E0426F9" w14:textId="77777777" w:rsidR="00D44B35" w:rsidRPr="00D44B35" w:rsidRDefault="00D44B35">
          <w:pPr>
            <w:spacing w:after="0" w:line="240" w:lineRule="auto"/>
            <w:rPr>
              <w:spacing w:val="15"/>
              <w:sz w:val="32"/>
              <w:szCs w:val="32"/>
            </w:rPr>
          </w:pPr>
          <w:r w:rsidRPr="00D44B35">
            <w:rPr>
              <w:spacing w:val="15"/>
              <w:sz w:val="32"/>
              <w:szCs w:val="32"/>
            </w:rPr>
            <w:t xml:space="preserve">Student Number: 501363919 </w:t>
          </w:r>
        </w:p>
        <w:p w14:paraId="68C399F4" w14:textId="77777777" w:rsidR="00D44B35" w:rsidRPr="00D44B35" w:rsidRDefault="00D44B35">
          <w:pPr>
            <w:spacing w:after="0" w:line="240" w:lineRule="auto"/>
            <w:rPr>
              <w:spacing w:val="15"/>
              <w:sz w:val="32"/>
              <w:szCs w:val="32"/>
            </w:rPr>
          </w:pPr>
          <w:r w:rsidRPr="00D44B35">
            <w:rPr>
              <w:spacing w:val="15"/>
              <w:sz w:val="32"/>
              <w:szCs w:val="32"/>
            </w:rPr>
            <w:t xml:space="preserve">Supervisor: TBA </w:t>
          </w:r>
        </w:p>
        <w:p w14:paraId="3635FF87" w14:textId="2057F0F5" w:rsidR="001D3D92" w:rsidRDefault="00D44B35">
          <w:pPr>
            <w:spacing w:after="0" w:line="240" w:lineRule="auto"/>
            <w:rPr>
              <w:b/>
              <w:spacing w:val="-10"/>
              <w:kern w:val="28"/>
              <w:sz w:val="56"/>
              <w:szCs w:val="56"/>
            </w:rPr>
          </w:pPr>
          <w:r w:rsidRPr="00D44B35">
            <w:rPr>
              <w:spacing w:val="15"/>
              <w:sz w:val="32"/>
              <w:szCs w:val="32"/>
            </w:rPr>
            <w:t>Date of Submission: May 19, 2025</w:t>
          </w:r>
          <w:r w:rsidR="001D3D92">
            <w:rPr>
              <w:spacing w:val="-10"/>
              <w:kern w:val="28"/>
              <w:sz w:val="56"/>
              <w:szCs w:val="56"/>
            </w:rPr>
            <w:br w:type="page"/>
          </w:r>
        </w:p>
      </w:sdtContent>
    </w:sdt>
    <w:p w14:paraId="2326A243" w14:textId="576EC518" w:rsidR="00811FE5" w:rsidRDefault="00811FE5"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p>
    <w:sdt>
      <w:sdtPr>
        <w:rPr>
          <w:rFonts w:eastAsiaTheme="minorEastAsia" w:cstheme="minorBidi"/>
          <w:b w:val="0"/>
          <w:sz w:val="22"/>
          <w:szCs w:val="24"/>
          <w:lang w:val="en-CA"/>
        </w:rPr>
        <w:id w:val="-998969800"/>
        <w:docPartObj>
          <w:docPartGallery w:val="Table of Contents"/>
          <w:docPartUnique/>
        </w:docPartObj>
      </w:sdtPr>
      <w:sdtEndPr>
        <w:rPr>
          <w:bCs/>
          <w:noProof/>
        </w:rPr>
      </w:sdtEndPr>
      <w:sdtContent>
        <w:p w14:paraId="23A14F87" w14:textId="798AF087" w:rsidR="00745E50" w:rsidRDefault="00745E50">
          <w:pPr>
            <w:pStyle w:val="TOCHeading"/>
          </w:pPr>
          <w:r>
            <w:t>Contents</w:t>
          </w:r>
        </w:p>
        <w:p w14:paraId="1E0C81AA" w14:textId="070C455C"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r>
            <w:fldChar w:fldCharType="begin"/>
          </w:r>
          <w:r>
            <w:instrText xml:space="preserve"> TOC \o "1-3" \h \z \u </w:instrText>
          </w:r>
          <w:r>
            <w:fldChar w:fldCharType="separate"/>
          </w:r>
          <w:hyperlink w:anchor="_Toc198581747" w:history="1">
            <w:r w:rsidRPr="00D33891">
              <w:rPr>
                <w:rStyle w:val="Hyperlink"/>
                <w:noProof/>
              </w:rPr>
              <w:t>Abstract</w:t>
            </w:r>
            <w:r>
              <w:rPr>
                <w:noProof/>
                <w:webHidden/>
              </w:rPr>
              <w:tab/>
            </w:r>
            <w:r>
              <w:rPr>
                <w:noProof/>
                <w:webHidden/>
              </w:rPr>
              <w:fldChar w:fldCharType="begin"/>
            </w:r>
            <w:r>
              <w:rPr>
                <w:noProof/>
                <w:webHidden/>
              </w:rPr>
              <w:instrText xml:space="preserve"> PAGEREF _Toc198581747 \h </w:instrText>
            </w:r>
            <w:r>
              <w:rPr>
                <w:noProof/>
                <w:webHidden/>
              </w:rPr>
            </w:r>
            <w:r>
              <w:rPr>
                <w:noProof/>
                <w:webHidden/>
              </w:rPr>
              <w:fldChar w:fldCharType="separate"/>
            </w:r>
            <w:r>
              <w:rPr>
                <w:noProof/>
                <w:webHidden/>
              </w:rPr>
              <w:t>4</w:t>
            </w:r>
            <w:r>
              <w:rPr>
                <w:noProof/>
                <w:webHidden/>
              </w:rPr>
              <w:fldChar w:fldCharType="end"/>
            </w:r>
          </w:hyperlink>
        </w:p>
        <w:p w14:paraId="60D71D1D" w14:textId="7D7B916B"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48" w:history="1">
            <w:r w:rsidRPr="00D33891">
              <w:rPr>
                <w:rStyle w:val="Hyperlink"/>
                <w:noProof/>
              </w:rPr>
              <w:t>Introduction</w:t>
            </w:r>
            <w:r>
              <w:rPr>
                <w:noProof/>
                <w:webHidden/>
              </w:rPr>
              <w:tab/>
            </w:r>
            <w:r>
              <w:rPr>
                <w:noProof/>
                <w:webHidden/>
              </w:rPr>
              <w:fldChar w:fldCharType="begin"/>
            </w:r>
            <w:r>
              <w:rPr>
                <w:noProof/>
                <w:webHidden/>
              </w:rPr>
              <w:instrText xml:space="preserve"> PAGEREF _Toc198581748 \h </w:instrText>
            </w:r>
            <w:r>
              <w:rPr>
                <w:noProof/>
                <w:webHidden/>
              </w:rPr>
            </w:r>
            <w:r>
              <w:rPr>
                <w:noProof/>
                <w:webHidden/>
              </w:rPr>
              <w:fldChar w:fldCharType="separate"/>
            </w:r>
            <w:r>
              <w:rPr>
                <w:noProof/>
                <w:webHidden/>
              </w:rPr>
              <w:t>4</w:t>
            </w:r>
            <w:r>
              <w:rPr>
                <w:noProof/>
                <w:webHidden/>
              </w:rPr>
              <w:fldChar w:fldCharType="end"/>
            </w:r>
          </w:hyperlink>
        </w:p>
        <w:p w14:paraId="3784D0E1" w14:textId="377FA538"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49" w:history="1">
            <w:r w:rsidRPr="00D33891">
              <w:rPr>
                <w:rStyle w:val="Hyperlink"/>
                <w:noProof/>
              </w:rPr>
              <w:t>Problem Statement and Context</w:t>
            </w:r>
            <w:r>
              <w:rPr>
                <w:noProof/>
                <w:webHidden/>
              </w:rPr>
              <w:tab/>
            </w:r>
            <w:r>
              <w:rPr>
                <w:noProof/>
                <w:webHidden/>
              </w:rPr>
              <w:fldChar w:fldCharType="begin"/>
            </w:r>
            <w:r>
              <w:rPr>
                <w:noProof/>
                <w:webHidden/>
              </w:rPr>
              <w:instrText xml:space="preserve"> PAGEREF _Toc198581749 \h </w:instrText>
            </w:r>
            <w:r>
              <w:rPr>
                <w:noProof/>
                <w:webHidden/>
              </w:rPr>
            </w:r>
            <w:r>
              <w:rPr>
                <w:noProof/>
                <w:webHidden/>
              </w:rPr>
              <w:fldChar w:fldCharType="separate"/>
            </w:r>
            <w:r>
              <w:rPr>
                <w:noProof/>
                <w:webHidden/>
              </w:rPr>
              <w:t>4</w:t>
            </w:r>
            <w:r>
              <w:rPr>
                <w:noProof/>
                <w:webHidden/>
              </w:rPr>
              <w:fldChar w:fldCharType="end"/>
            </w:r>
          </w:hyperlink>
        </w:p>
        <w:p w14:paraId="7D4E1E6D" w14:textId="1F3A2D8E"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0" w:history="1">
            <w:r w:rsidRPr="00D33891">
              <w:rPr>
                <w:rStyle w:val="Hyperlink"/>
                <w:noProof/>
              </w:rPr>
              <w:t>Research Questions and Justification</w:t>
            </w:r>
            <w:r>
              <w:rPr>
                <w:noProof/>
                <w:webHidden/>
              </w:rPr>
              <w:tab/>
            </w:r>
            <w:r>
              <w:rPr>
                <w:noProof/>
                <w:webHidden/>
              </w:rPr>
              <w:fldChar w:fldCharType="begin"/>
            </w:r>
            <w:r>
              <w:rPr>
                <w:noProof/>
                <w:webHidden/>
              </w:rPr>
              <w:instrText xml:space="preserve"> PAGEREF _Toc198581750 \h </w:instrText>
            </w:r>
            <w:r>
              <w:rPr>
                <w:noProof/>
                <w:webHidden/>
              </w:rPr>
            </w:r>
            <w:r>
              <w:rPr>
                <w:noProof/>
                <w:webHidden/>
              </w:rPr>
              <w:fldChar w:fldCharType="separate"/>
            </w:r>
            <w:r>
              <w:rPr>
                <w:noProof/>
                <w:webHidden/>
              </w:rPr>
              <w:t>4</w:t>
            </w:r>
            <w:r>
              <w:rPr>
                <w:noProof/>
                <w:webHidden/>
              </w:rPr>
              <w:fldChar w:fldCharType="end"/>
            </w:r>
          </w:hyperlink>
        </w:p>
        <w:p w14:paraId="38F241DF" w14:textId="7847B199"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1" w:history="1">
            <w:r w:rsidRPr="00D33891">
              <w:rPr>
                <w:rStyle w:val="Hyperlink"/>
                <w:noProof/>
              </w:rPr>
              <w:t>Dataset Selection and Rationale</w:t>
            </w:r>
            <w:r>
              <w:rPr>
                <w:noProof/>
                <w:webHidden/>
              </w:rPr>
              <w:tab/>
            </w:r>
            <w:r>
              <w:rPr>
                <w:noProof/>
                <w:webHidden/>
              </w:rPr>
              <w:fldChar w:fldCharType="begin"/>
            </w:r>
            <w:r>
              <w:rPr>
                <w:noProof/>
                <w:webHidden/>
              </w:rPr>
              <w:instrText xml:space="preserve"> PAGEREF _Toc198581751 \h </w:instrText>
            </w:r>
            <w:r>
              <w:rPr>
                <w:noProof/>
                <w:webHidden/>
              </w:rPr>
            </w:r>
            <w:r>
              <w:rPr>
                <w:noProof/>
                <w:webHidden/>
              </w:rPr>
              <w:fldChar w:fldCharType="separate"/>
            </w:r>
            <w:r>
              <w:rPr>
                <w:noProof/>
                <w:webHidden/>
              </w:rPr>
              <w:t>5</w:t>
            </w:r>
            <w:r>
              <w:rPr>
                <w:noProof/>
                <w:webHidden/>
              </w:rPr>
              <w:fldChar w:fldCharType="end"/>
            </w:r>
          </w:hyperlink>
        </w:p>
        <w:p w14:paraId="40D5CEAB" w14:textId="61B0048D"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2" w:history="1">
            <w:r w:rsidRPr="00D33891">
              <w:rPr>
                <w:rStyle w:val="Hyperlink"/>
                <w:noProof/>
              </w:rPr>
              <w:t>Proposed Methodology and Tools</w:t>
            </w:r>
            <w:r>
              <w:rPr>
                <w:noProof/>
                <w:webHidden/>
              </w:rPr>
              <w:tab/>
            </w:r>
            <w:r>
              <w:rPr>
                <w:noProof/>
                <w:webHidden/>
              </w:rPr>
              <w:fldChar w:fldCharType="begin"/>
            </w:r>
            <w:r>
              <w:rPr>
                <w:noProof/>
                <w:webHidden/>
              </w:rPr>
              <w:instrText xml:space="preserve"> PAGEREF _Toc198581752 \h </w:instrText>
            </w:r>
            <w:r>
              <w:rPr>
                <w:noProof/>
                <w:webHidden/>
              </w:rPr>
            </w:r>
            <w:r>
              <w:rPr>
                <w:noProof/>
                <w:webHidden/>
              </w:rPr>
              <w:fldChar w:fldCharType="separate"/>
            </w:r>
            <w:r>
              <w:rPr>
                <w:noProof/>
                <w:webHidden/>
              </w:rPr>
              <w:t>5</w:t>
            </w:r>
            <w:r>
              <w:rPr>
                <w:noProof/>
                <w:webHidden/>
              </w:rPr>
              <w:fldChar w:fldCharType="end"/>
            </w:r>
          </w:hyperlink>
        </w:p>
        <w:p w14:paraId="65665AF9" w14:textId="2F040A81"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3" w:history="1">
            <w:r w:rsidRPr="00D33891">
              <w:rPr>
                <w:rStyle w:val="Hyperlink"/>
                <w:noProof/>
              </w:rPr>
              <w:t>Tools and Techniques for Data Analysis</w:t>
            </w:r>
            <w:r>
              <w:rPr>
                <w:noProof/>
                <w:webHidden/>
              </w:rPr>
              <w:tab/>
            </w:r>
            <w:r>
              <w:rPr>
                <w:noProof/>
                <w:webHidden/>
              </w:rPr>
              <w:fldChar w:fldCharType="begin"/>
            </w:r>
            <w:r>
              <w:rPr>
                <w:noProof/>
                <w:webHidden/>
              </w:rPr>
              <w:instrText xml:space="preserve"> PAGEREF _Toc198581753 \h </w:instrText>
            </w:r>
            <w:r>
              <w:rPr>
                <w:noProof/>
                <w:webHidden/>
              </w:rPr>
            </w:r>
            <w:r>
              <w:rPr>
                <w:noProof/>
                <w:webHidden/>
              </w:rPr>
              <w:fldChar w:fldCharType="separate"/>
            </w:r>
            <w:r>
              <w:rPr>
                <w:noProof/>
                <w:webHidden/>
              </w:rPr>
              <w:t>6</w:t>
            </w:r>
            <w:r>
              <w:rPr>
                <w:noProof/>
                <w:webHidden/>
              </w:rPr>
              <w:fldChar w:fldCharType="end"/>
            </w:r>
          </w:hyperlink>
        </w:p>
        <w:p w14:paraId="22BCEF08" w14:textId="1C3FAB61"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4" w:history="1">
            <w:r w:rsidRPr="00D33891">
              <w:rPr>
                <w:rStyle w:val="Hyperlink"/>
                <w:noProof/>
              </w:rPr>
              <w:t>Benefits of Research</w:t>
            </w:r>
            <w:r>
              <w:rPr>
                <w:noProof/>
                <w:webHidden/>
              </w:rPr>
              <w:tab/>
            </w:r>
            <w:r>
              <w:rPr>
                <w:noProof/>
                <w:webHidden/>
              </w:rPr>
              <w:fldChar w:fldCharType="begin"/>
            </w:r>
            <w:r>
              <w:rPr>
                <w:noProof/>
                <w:webHidden/>
              </w:rPr>
              <w:instrText xml:space="preserve"> PAGEREF _Toc198581754 \h </w:instrText>
            </w:r>
            <w:r>
              <w:rPr>
                <w:noProof/>
                <w:webHidden/>
              </w:rPr>
            </w:r>
            <w:r>
              <w:rPr>
                <w:noProof/>
                <w:webHidden/>
              </w:rPr>
              <w:fldChar w:fldCharType="separate"/>
            </w:r>
            <w:r>
              <w:rPr>
                <w:noProof/>
                <w:webHidden/>
              </w:rPr>
              <w:t>6</w:t>
            </w:r>
            <w:r>
              <w:rPr>
                <w:noProof/>
                <w:webHidden/>
              </w:rPr>
              <w:fldChar w:fldCharType="end"/>
            </w:r>
          </w:hyperlink>
        </w:p>
        <w:p w14:paraId="452AC0F3" w14:textId="787F7F74"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5" w:history="1">
            <w:r w:rsidRPr="00D33891">
              <w:rPr>
                <w:rStyle w:val="Hyperlink"/>
                <w:noProof/>
              </w:rPr>
              <w:t>Intended Audience</w:t>
            </w:r>
            <w:r>
              <w:rPr>
                <w:noProof/>
                <w:webHidden/>
              </w:rPr>
              <w:tab/>
            </w:r>
            <w:r>
              <w:rPr>
                <w:noProof/>
                <w:webHidden/>
              </w:rPr>
              <w:fldChar w:fldCharType="begin"/>
            </w:r>
            <w:r>
              <w:rPr>
                <w:noProof/>
                <w:webHidden/>
              </w:rPr>
              <w:instrText xml:space="preserve"> PAGEREF _Toc198581755 \h </w:instrText>
            </w:r>
            <w:r>
              <w:rPr>
                <w:noProof/>
                <w:webHidden/>
              </w:rPr>
            </w:r>
            <w:r>
              <w:rPr>
                <w:noProof/>
                <w:webHidden/>
              </w:rPr>
              <w:fldChar w:fldCharType="separate"/>
            </w:r>
            <w:r>
              <w:rPr>
                <w:noProof/>
                <w:webHidden/>
              </w:rPr>
              <w:t>6</w:t>
            </w:r>
            <w:r>
              <w:rPr>
                <w:noProof/>
                <w:webHidden/>
              </w:rPr>
              <w:fldChar w:fldCharType="end"/>
            </w:r>
          </w:hyperlink>
        </w:p>
        <w:p w14:paraId="14390937" w14:textId="1ACE923D"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6" w:history="1">
            <w:r w:rsidRPr="00D33891">
              <w:rPr>
                <w:rStyle w:val="Hyperlink"/>
                <w:noProof/>
              </w:rPr>
              <w:t>Justification of References and Related Work</w:t>
            </w:r>
            <w:r>
              <w:rPr>
                <w:noProof/>
                <w:webHidden/>
              </w:rPr>
              <w:tab/>
            </w:r>
            <w:r>
              <w:rPr>
                <w:noProof/>
                <w:webHidden/>
              </w:rPr>
              <w:fldChar w:fldCharType="begin"/>
            </w:r>
            <w:r>
              <w:rPr>
                <w:noProof/>
                <w:webHidden/>
              </w:rPr>
              <w:instrText xml:space="preserve"> PAGEREF _Toc198581756 \h </w:instrText>
            </w:r>
            <w:r>
              <w:rPr>
                <w:noProof/>
                <w:webHidden/>
              </w:rPr>
            </w:r>
            <w:r>
              <w:rPr>
                <w:noProof/>
                <w:webHidden/>
              </w:rPr>
              <w:fldChar w:fldCharType="separate"/>
            </w:r>
            <w:r>
              <w:rPr>
                <w:noProof/>
                <w:webHidden/>
              </w:rPr>
              <w:t>7</w:t>
            </w:r>
            <w:r>
              <w:rPr>
                <w:noProof/>
                <w:webHidden/>
              </w:rPr>
              <w:fldChar w:fldCharType="end"/>
            </w:r>
          </w:hyperlink>
        </w:p>
        <w:p w14:paraId="6B233BC6" w14:textId="504DF0DE" w:rsidR="00745E50" w:rsidRDefault="00745E50">
          <w:pPr>
            <w:pStyle w:val="TOC1"/>
            <w:rPr>
              <w:rFonts w:asciiTheme="minorHAnsi" w:eastAsiaTheme="minorEastAsia" w:hAnsiTheme="minorHAnsi" w:cstheme="minorBidi"/>
              <w:b w:val="0"/>
              <w:noProof/>
              <w:color w:val="auto"/>
              <w:kern w:val="2"/>
              <w:szCs w:val="24"/>
              <w:lang w:eastAsia="en-CA"/>
              <w14:ligatures w14:val="standardContextual"/>
            </w:rPr>
          </w:pPr>
          <w:hyperlink w:anchor="_Toc198581757" w:history="1">
            <w:r w:rsidRPr="00D33891">
              <w:rPr>
                <w:rStyle w:val="Hyperlink"/>
                <w:noProof/>
              </w:rPr>
              <w:t>Limitations and Future Work</w:t>
            </w:r>
            <w:r>
              <w:rPr>
                <w:noProof/>
                <w:webHidden/>
              </w:rPr>
              <w:tab/>
            </w:r>
            <w:r>
              <w:rPr>
                <w:noProof/>
                <w:webHidden/>
              </w:rPr>
              <w:fldChar w:fldCharType="begin"/>
            </w:r>
            <w:r>
              <w:rPr>
                <w:noProof/>
                <w:webHidden/>
              </w:rPr>
              <w:instrText xml:space="preserve"> PAGEREF _Toc198581757 \h </w:instrText>
            </w:r>
            <w:r>
              <w:rPr>
                <w:noProof/>
                <w:webHidden/>
              </w:rPr>
            </w:r>
            <w:r>
              <w:rPr>
                <w:noProof/>
                <w:webHidden/>
              </w:rPr>
              <w:fldChar w:fldCharType="separate"/>
            </w:r>
            <w:r>
              <w:rPr>
                <w:noProof/>
                <w:webHidden/>
              </w:rPr>
              <w:t>7</w:t>
            </w:r>
            <w:r>
              <w:rPr>
                <w:noProof/>
                <w:webHidden/>
              </w:rPr>
              <w:fldChar w:fldCharType="end"/>
            </w:r>
          </w:hyperlink>
        </w:p>
        <w:p w14:paraId="7E74A9FB" w14:textId="591E46B2" w:rsidR="00745E50" w:rsidRDefault="00745E50">
          <w:r>
            <w:rPr>
              <w:b/>
              <w:bCs/>
              <w:noProof/>
            </w:rPr>
            <w:fldChar w:fldCharType="end"/>
          </w:r>
        </w:p>
      </w:sdtContent>
    </w:sdt>
    <w:p w14:paraId="65D4612A" w14:textId="41F99580" w:rsidR="00EE02F8" w:rsidRDefault="00EE02F8"/>
    <w:p w14:paraId="6C224803" w14:textId="77777777" w:rsidR="00FA0B40" w:rsidRDefault="00FA0B40" w:rsidP="00D44B35">
      <w:pPr>
        <w:rPr>
          <w:b/>
          <w:bCs/>
          <w:sz w:val="32"/>
          <w:szCs w:val="32"/>
        </w:rPr>
      </w:pPr>
    </w:p>
    <w:p w14:paraId="58D523F6" w14:textId="77777777" w:rsidR="00FA0B40" w:rsidRDefault="00FA0B40" w:rsidP="00D44B35">
      <w:pPr>
        <w:rPr>
          <w:b/>
          <w:bCs/>
          <w:sz w:val="32"/>
          <w:szCs w:val="32"/>
        </w:rPr>
      </w:pPr>
    </w:p>
    <w:p w14:paraId="1380C44F" w14:textId="77777777" w:rsidR="00FA0B40" w:rsidRDefault="00FA0B40" w:rsidP="00D44B35">
      <w:pPr>
        <w:rPr>
          <w:b/>
          <w:bCs/>
          <w:sz w:val="32"/>
          <w:szCs w:val="32"/>
        </w:rPr>
      </w:pPr>
    </w:p>
    <w:p w14:paraId="36D138CB" w14:textId="77777777" w:rsidR="00FA0B40" w:rsidRDefault="00FA0B40" w:rsidP="00D44B35">
      <w:pPr>
        <w:rPr>
          <w:b/>
          <w:bCs/>
          <w:sz w:val="32"/>
          <w:szCs w:val="32"/>
        </w:rPr>
      </w:pPr>
    </w:p>
    <w:p w14:paraId="2D0CE84E" w14:textId="77777777" w:rsidR="00FA0B40" w:rsidRDefault="00FA0B40" w:rsidP="00D44B35">
      <w:pPr>
        <w:rPr>
          <w:b/>
          <w:bCs/>
          <w:sz w:val="32"/>
          <w:szCs w:val="32"/>
        </w:rPr>
      </w:pPr>
    </w:p>
    <w:p w14:paraId="153D2186" w14:textId="77777777" w:rsidR="00FA0B40" w:rsidRDefault="00FA0B40" w:rsidP="00D44B35">
      <w:pPr>
        <w:rPr>
          <w:b/>
          <w:bCs/>
          <w:sz w:val="32"/>
          <w:szCs w:val="32"/>
        </w:rPr>
      </w:pPr>
    </w:p>
    <w:p w14:paraId="424952B8" w14:textId="77777777" w:rsidR="00FA0B40" w:rsidRDefault="00FA0B40" w:rsidP="00D44B35">
      <w:pPr>
        <w:rPr>
          <w:b/>
          <w:bCs/>
          <w:sz w:val="32"/>
          <w:szCs w:val="32"/>
        </w:rPr>
      </w:pPr>
    </w:p>
    <w:p w14:paraId="53BA6C17" w14:textId="77777777" w:rsidR="00FA0B40" w:rsidRDefault="00FA0B40" w:rsidP="00D44B35">
      <w:pPr>
        <w:rPr>
          <w:b/>
          <w:bCs/>
          <w:sz w:val="32"/>
          <w:szCs w:val="32"/>
        </w:rPr>
      </w:pPr>
    </w:p>
    <w:p w14:paraId="321BE5BB" w14:textId="77777777" w:rsidR="00FA0B40" w:rsidRDefault="00FA0B40" w:rsidP="00D44B35">
      <w:pPr>
        <w:rPr>
          <w:b/>
          <w:bCs/>
          <w:sz w:val="32"/>
          <w:szCs w:val="32"/>
        </w:rPr>
      </w:pPr>
    </w:p>
    <w:p w14:paraId="313CE09E" w14:textId="76A60A74" w:rsidR="00D44B35" w:rsidRPr="00D44B35" w:rsidRDefault="00D44B35" w:rsidP="005D5631">
      <w:pPr>
        <w:pStyle w:val="Heading1"/>
      </w:pPr>
      <w:bookmarkStart w:id="0" w:name="_Toc198581747"/>
      <w:r w:rsidRPr="00D44B35">
        <w:lastRenderedPageBreak/>
        <w:t>Abstract</w:t>
      </w:r>
      <w:bookmarkEnd w:id="0"/>
    </w:p>
    <w:p w14:paraId="24C11D74" w14:textId="011424D3" w:rsidR="0062303C" w:rsidRDefault="00D44B35" w:rsidP="00D44B35">
      <w:r w:rsidRPr="00D44B35">
        <w:t xml:space="preserve">In the context of Ontario’s evolving energy landscape, identifying priority zones for Smart Grid investment is essential for efficient, equitable, and future-proof infrastructure develop </w:t>
      </w:r>
      <w:proofErr w:type="spellStart"/>
      <w:r w:rsidRPr="00D44B35">
        <w:t>ment</w:t>
      </w:r>
      <w:proofErr w:type="spellEnd"/>
      <w:r w:rsidRPr="00D44B35">
        <w:t xml:space="preserve">. This project presents a data-driven scorecard that evaluates the readiness of various Ontario electricity zones for Smart Grid investment, using a weighted scoring </w:t>
      </w:r>
      <w:proofErr w:type="spellStart"/>
      <w:r w:rsidRPr="00D44B35">
        <w:t>methodol</w:t>
      </w:r>
      <w:proofErr w:type="spellEnd"/>
      <w:r w:rsidRPr="00D44B35">
        <w:t xml:space="preserve"> </w:t>
      </w:r>
      <w:proofErr w:type="spellStart"/>
      <w:r w:rsidRPr="00D44B35">
        <w:t>ogy</w:t>
      </w:r>
      <w:proofErr w:type="spellEnd"/>
      <w:r w:rsidRPr="00D44B35">
        <w:t xml:space="preserve"> grounded in multi-criteria analytics. Drawing on publicly available datasets from the Independent Electricity System Operator (IESO), the scorecard synthesizes indicators in </w:t>
      </w:r>
      <w:proofErr w:type="spellStart"/>
      <w:r w:rsidRPr="00D44B35">
        <w:t>cluding</w:t>
      </w:r>
      <w:proofErr w:type="spellEnd"/>
      <w:r w:rsidRPr="00D44B35">
        <w:t xml:space="preserve"> hourly demand variability, pricing volatility, grid stress deviations, and transmission outage frequency. By delivering a composite index for each zone, this research enables evidence-based prioritization to inform policymakers, utilities, and private investors. The project emphasizes accessibility and replicability by utilizing Python, </w:t>
      </w:r>
      <w:proofErr w:type="spellStart"/>
      <w:r w:rsidRPr="00D44B35">
        <w:t>Jupyter</w:t>
      </w:r>
      <w:proofErr w:type="spellEnd"/>
      <w:r w:rsidRPr="00D44B35">
        <w:t xml:space="preserve"> Notebooks, and transparent computation frameworks suitable for analysts without machine learning expertise</w:t>
      </w:r>
      <w:r w:rsidR="00106199">
        <w:t>.</w:t>
      </w:r>
    </w:p>
    <w:p w14:paraId="1A8781CD" w14:textId="77777777" w:rsidR="00D44B35" w:rsidRDefault="00D44B35" w:rsidP="00D44B35"/>
    <w:p w14:paraId="790E110B" w14:textId="77777777" w:rsidR="00D44B35" w:rsidRPr="00D53489" w:rsidRDefault="00D44B35" w:rsidP="005D5631">
      <w:pPr>
        <w:pStyle w:val="Heading1"/>
      </w:pPr>
      <w:bookmarkStart w:id="1" w:name="_Toc198581748"/>
      <w:r w:rsidRPr="00D53489">
        <w:t>Introduction</w:t>
      </w:r>
      <w:bookmarkEnd w:id="1"/>
    </w:p>
    <w:p w14:paraId="12FADE13" w14:textId="7A104EEF" w:rsidR="00D53489" w:rsidRDefault="00D44B35" w:rsidP="00D44B35">
      <w:r w:rsidRPr="00D44B35">
        <w:t xml:space="preserve">Ontario’s grid modernization journey is increasingly driven by the dual imperatives of re </w:t>
      </w:r>
      <w:proofErr w:type="spellStart"/>
      <w:r w:rsidRPr="00D44B35">
        <w:t>silient</w:t>
      </w:r>
      <w:proofErr w:type="spellEnd"/>
      <w:r w:rsidRPr="00D44B35">
        <w:t xml:space="preserve"> infrastructure and sustainable investment. With Smart Grids being foundational to energy transitions globally, region-specific assessments of grid readiness become essential. This project addresses this gap by introducing a Smart Grid Investment Readiness Score card (SGIRS) for Ontario electricity zones, integrating data from demand patterns, grid events, and outage reports. The aim is to deliver actionable insigh</w:t>
      </w:r>
      <w:r w:rsidR="00D53489">
        <w:t>ts.</w:t>
      </w:r>
    </w:p>
    <w:p w14:paraId="3E0B1BE6" w14:textId="77777777" w:rsidR="00D53489" w:rsidRDefault="00D53489" w:rsidP="00D44B35"/>
    <w:p w14:paraId="7E983733" w14:textId="77777777" w:rsidR="00D53489" w:rsidRPr="00D53489" w:rsidRDefault="00D44B35" w:rsidP="005D5631">
      <w:pPr>
        <w:pStyle w:val="Heading1"/>
      </w:pPr>
      <w:bookmarkStart w:id="2" w:name="_Toc198581749"/>
      <w:r w:rsidRPr="00D53489">
        <w:t>Problem Statement and Context</w:t>
      </w:r>
      <w:bookmarkEnd w:id="2"/>
      <w:r w:rsidRPr="00D53489">
        <w:t xml:space="preserve"> </w:t>
      </w:r>
    </w:p>
    <w:p w14:paraId="4ED43510" w14:textId="602A0378" w:rsidR="00D53489" w:rsidRDefault="00D44B35" w:rsidP="00D44B35">
      <w:r w:rsidRPr="00D44B35">
        <w:t xml:space="preserve">The growing complexity of Ontario’s energy grid—driven by climate mandates, </w:t>
      </w:r>
      <w:proofErr w:type="spellStart"/>
      <w:r w:rsidRPr="00D44B35">
        <w:t>electrifica</w:t>
      </w:r>
      <w:proofErr w:type="spellEnd"/>
      <w:r w:rsidRPr="00D44B35">
        <w:t xml:space="preserve"> </w:t>
      </w:r>
      <w:proofErr w:type="spellStart"/>
      <w:r w:rsidRPr="00D44B35">
        <w:t>tion</w:t>
      </w:r>
      <w:proofErr w:type="spellEnd"/>
      <w:r w:rsidRPr="00D44B35">
        <w:t xml:space="preserve">, and increased reliance on renewables—demands strategic and data-informed invest </w:t>
      </w:r>
      <w:proofErr w:type="spellStart"/>
      <w:r w:rsidRPr="00D44B35">
        <w:t>ments</w:t>
      </w:r>
      <w:proofErr w:type="spellEnd"/>
      <w:r w:rsidRPr="00D44B35">
        <w:t>. The challenge lies in identifying which zones are most in need and most ready for Smart Grid technologies. This project develops a readiness scorecard to assess and rank Ontario zones based on volatility, operational resilience, and outage history. The broader objective is to support equitable, cost-effective modernization strategi</w:t>
      </w:r>
      <w:r w:rsidR="00D53489">
        <w:t>es.</w:t>
      </w:r>
    </w:p>
    <w:p w14:paraId="0A9EB53C" w14:textId="77777777" w:rsidR="00D53489" w:rsidRDefault="00D53489" w:rsidP="00D44B35"/>
    <w:p w14:paraId="4FCDFA32" w14:textId="77777777" w:rsidR="00D53489" w:rsidRPr="00D53489" w:rsidRDefault="00D44B35" w:rsidP="005D5631">
      <w:pPr>
        <w:pStyle w:val="Heading1"/>
      </w:pPr>
      <w:bookmarkStart w:id="3" w:name="_Toc198581750"/>
      <w:r w:rsidRPr="00D53489">
        <w:t>Research Questions and Justification</w:t>
      </w:r>
      <w:bookmarkEnd w:id="3"/>
      <w:r w:rsidRPr="00D53489">
        <w:t xml:space="preserve"> </w:t>
      </w:r>
    </w:p>
    <w:p w14:paraId="3886E61F" w14:textId="77777777" w:rsidR="00D53489" w:rsidRDefault="00D44B35" w:rsidP="00D44B35">
      <w:r w:rsidRPr="00D44B35">
        <w:t xml:space="preserve">1. Which Ontario electricity zones exhibit the highest volatility and infrastructure stress based on empirical indicators? </w:t>
      </w:r>
    </w:p>
    <w:p w14:paraId="19CE14D9" w14:textId="77777777" w:rsidR="00D53489" w:rsidRDefault="00D44B35" w:rsidP="00D44B35">
      <w:r w:rsidRPr="00D44B35">
        <w:t xml:space="preserve">2. How do transmission outages and dispatch deviations correlate with peak demand and zonal price behavior? </w:t>
      </w:r>
    </w:p>
    <w:p w14:paraId="035C8A22" w14:textId="4AD4F89B" w:rsidR="00D53489" w:rsidRDefault="00D44B35" w:rsidP="00D44B35">
      <w:r w:rsidRPr="00D44B35">
        <w:lastRenderedPageBreak/>
        <w:t>3. Can</w:t>
      </w:r>
      <w:r w:rsidR="00D53489">
        <w:t xml:space="preserve"> </w:t>
      </w:r>
      <w:r w:rsidRPr="00D44B35">
        <w:t>a</w:t>
      </w:r>
      <w:r w:rsidR="00D53489">
        <w:t xml:space="preserve"> </w:t>
      </w:r>
      <w:r w:rsidRPr="00D44B35">
        <w:t xml:space="preserve">composite readiness index support evidence-based Smart Grid investment </w:t>
      </w:r>
      <w:proofErr w:type="spellStart"/>
      <w:r w:rsidRPr="00D44B35">
        <w:t>strate</w:t>
      </w:r>
      <w:proofErr w:type="spellEnd"/>
      <w:r w:rsidRPr="00D44B35">
        <w:t xml:space="preserve"> </w:t>
      </w:r>
      <w:proofErr w:type="spellStart"/>
      <w:r w:rsidRPr="00D44B35">
        <w:t>gies</w:t>
      </w:r>
      <w:proofErr w:type="spellEnd"/>
      <w:r w:rsidRPr="00D44B35">
        <w:t xml:space="preserve"> across zones? </w:t>
      </w:r>
    </w:p>
    <w:p w14:paraId="3A449908" w14:textId="77777777" w:rsidR="00D53489" w:rsidRDefault="00D44B35" w:rsidP="00D44B35">
      <w:r w:rsidRPr="00D44B35">
        <w:t xml:space="preserve">These research questions are closely aligned with the central goal of identifying priority in vestment zones. They reflect an integrated systems-level approach, using operational data to assess both reliability risks and readiness potential. The questions are intentionally designed to be data-driven, regionally scalable, and supportive of ongoing energy transition policy efforts. </w:t>
      </w:r>
    </w:p>
    <w:p w14:paraId="7791FE1B" w14:textId="77777777" w:rsidR="00D53489" w:rsidRDefault="00D53489" w:rsidP="00D44B35"/>
    <w:p w14:paraId="419AF7E8" w14:textId="77777777" w:rsidR="00D53489" w:rsidRPr="00D53489" w:rsidRDefault="00D53489" w:rsidP="005D5631">
      <w:pPr>
        <w:pStyle w:val="Heading1"/>
      </w:pPr>
      <w:bookmarkStart w:id="4" w:name="_Toc198581751"/>
      <w:r w:rsidRPr="00D53489">
        <w:t>Dataset Selection and Rationale</w:t>
      </w:r>
      <w:bookmarkEnd w:id="4"/>
      <w:r w:rsidRPr="00D53489">
        <w:t xml:space="preserve"> </w:t>
      </w:r>
    </w:p>
    <w:p w14:paraId="365C6A2C" w14:textId="3F3AA052" w:rsidR="00D53489" w:rsidRDefault="00D53489" w:rsidP="00AE0F6A">
      <w:r w:rsidRPr="00D53489">
        <w:t xml:space="preserve">This project uses publicly available datasets from the Independent Electricity System Operator (IESO) of Ontario. These include: </w:t>
      </w:r>
    </w:p>
    <w:p w14:paraId="25AED898" w14:textId="77777777" w:rsidR="00D53489" w:rsidRDefault="00D53489" w:rsidP="00AE0F6A">
      <w:pPr>
        <w:pStyle w:val="ListParagraph"/>
        <w:numPr>
          <w:ilvl w:val="0"/>
          <w:numId w:val="12"/>
        </w:numPr>
      </w:pPr>
      <w:r w:rsidRPr="00D53489">
        <w:t>Hourly Zonal Demand Report (</w:t>
      </w:r>
      <w:proofErr w:type="spellStart"/>
      <w:r w:rsidRPr="00D53489">
        <w:t>DemandZonal</w:t>
      </w:r>
      <w:proofErr w:type="spellEnd"/>
      <w:r w:rsidRPr="00D53489">
        <w:t xml:space="preserve">/) </w:t>
      </w:r>
    </w:p>
    <w:p w14:paraId="2EF8181E" w14:textId="77777777" w:rsidR="00D53489" w:rsidRDefault="00D53489" w:rsidP="00AE0F6A">
      <w:pPr>
        <w:pStyle w:val="ListParagraph"/>
        <w:numPr>
          <w:ilvl w:val="0"/>
          <w:numId w:val="12"/>
        </w:numPr>
      </w:pPr>
      <w:r w:rsidRPr="00D53489">
        <w:t>Real-Time Zonal Demand Report (</w:t>
      </w:r>
      <w:proofErr w:type="spellStart"/>
      <w:r w:rsidRPr="00D53489">
        <w:t>RealtimeDemandZonal</w:t>
      </w:r>
      <w:proofErr w:type="spellEnd"/>
      <w:r w:rsidRPr="00D53489">
        <w:t xml:space="preserve">/) </w:t>
      </w:r>
    </w:p>
    <w:p w14:paraId="7F98B856" w14:textId="77777777" w:rsidR="00D53489" w:rsidRDefault="00D53489" w:rsidP="00AE0F6A">
      <w:pPr>
        <w:pStyle w:val="ListParagraph"/>
        <w:numPr>
          <w:ilvl w:val="0"/>
          <w:numId w:val="12"/>
        </w:numPr>
      </w:pPr>
      <w:r w:rsidRPr="00D53489">
        <w:t>Dispatch Deviation Report (</w:t>
      </w:r>
      <w:proofErr w:type="spellStart"/>
      <w:r w:rsidRPr="00D53489">
        <w:t>DispDeviation</w:t>
      </w:r>
      <w:proofErr w:type="spellEnd"/>
      <w:r w:rsidRPr="00D53489">
        <w:t xml:space="preserve">/) </w:t>
      </w:r>
    </w:p>
    <w:p w14:paraId="01FB622E" w14:textId="65A17F2C" w:rsidR="00D53489" w:rsidRDefault="00D53489" w:rsidP="00AE0F6A">
      <w:pPr>
        <w:pStyle w:val="ListParagraph"/>
        <w:numPr>
          <w:ilvl w:val="0"/>
          <w:numId w:val="12"/>
        </w:numPr>
      </w:pPr>
      <w:r w:rsidRPr="00D53489">
        <w:t>Transmission Outages Report (</w:t>
      </w:r>
      <w:proofErr w:type="spellStart"/>
      <w:r w:rsidRPr="00D53489">
        <w:t>TxOutages</w:t>
      </w:r>
      <w:proofErr w:type="spellEnd"/>
      <w:r w:rsidRPr="00D53489">
        <w:t xml:space="preserve">*/) </w:t>
      </w:r>
    </w:p>
    <w:p w14:paraId="2B852292" w14:textId="3716D523" w:rsidR="00D53489" w:rsidRDefault="00D53489" w:rsidP="00AE0F6A">
      <w:r w:rsidRPr="00D53489">
        <w:t xml:space="preserve">These datasets are selected for their time granularity (hourly), zone-specific detail, and direct linkage to operational resilience metrics. They allow for comparative and trend-based analysis and are suitable for time-series and scoring model applications. </w:t>
      </w:r>
    </w:p>
    <w:p w14:paraId="1529141D" w14:textId="77777777" w:rsidR="00D53489" w:rsidRDefault="00D53489" w:rsidP="00AE0F6A"/>
    <w:p w14:paraId="70941E38" w14:textId="77777777" w:rsidR="00D53489" w:rsidRPr="00D53489" w:rsidRDefault="00D53489" w:rsidP="005D5631">
      <w:pPr>
        <w:pStyle w:val="Heading1"/>
      </w:pPr>
      <w:bookmarkStart w:id="5" w:name="_Toc198581752"/>
      <w:r w:rsidRPr="00D53489">
        <w:t>Proposed Methodology and Tools</w:t>
      </w:r>
      <w:bookmarkEnd w:id="5"/>
      <w:r w:rsidRPr="00D53489">
        <w:t xml:space="preserve"> </w:t>
      </w:r>
    </w:p>
    <w:p w14:paraId="1F93A716" w14:textId="2D8C0B24" w:rsidR="00DC17D3" w:rsidRDefault="00D53489" w:rsidP="00AE0F6A">
      <w:r w:rsidRPr="00D53489">
        <w:t>A</w:t>
      </w:r>
      <w:r>
        <w:t xml:space="preserve"> </w:t>
      </w:r>
      <w:r w:rsidRPr="00D53489">
        <w:t xml:space="preserve">Weighted Scoring Model (WSM) is used to compute a Smart Grid Readiness Index (SGRI) per zone. Four indicators are used: • Demand Volatility Index (DVI): Coefficient of variation in hourly demand • Price Volatility Index (PVI): Normalized standard deviation in zonal energy prices • </w:t>
      </w:r>
      <w:proofErr w:type="spellStart"/>
      <w:r w:rsidRPr="00D53489">
        <w:t>DispatchDeviation</w:t>
      </w:r>
      <w:proofErr w:type="spellEnd"/>
      <w:r w:rsidRPr="00D53489">
        <w:t xml:space="preserve"> Score (DDS): Frequency of deviations between scheduled and actual dispatch • Outage Frequency Index (OFI): Outage frequency and duration from transmission outage logs Each index is normalized and combined with weighted coefficients, optionally derived via expert consultation or Analytic Hierarchy Process (AHP). The methodology includes scoring logic development, visualization of metric distributions, and sensitivity testing on weight assignments.</w:t>
      </w:r>
    </w:p>
    <w:p w14:paraId="56BA815D" w14:textId="77777777" w:rsidR="00D53489" w:rsidRDefault="00D53489" w:rsidP="00AE0F6A"/>
    <w:p w14:paraId="66A18519" w14:textId="77777777" w:rsidR="00D53489" w:rsidRDefault="00D53489" w:rsidP="005D5631">
      <w:pPr>
        <w:pStyle w:val="Heading1"/>
      </w:pPr>
      <w:bookmarkStart w:id="6" w:name="_Toc198581753"/>
      <w:r w:rsidRPr="00D53489">
        <w:t>Tools and Techniques for Data Analysis</w:t>
      </w:r>
      <w:bookmarkEnd w:id="6"/>
      <w:r w:rsidRPr="00D53489">
        <w:t xml:space="preserve"> </w:t>
      </w:r>
    </w:p>
    <w:p w14:paraId="77E07C59" w14:textId="77777777" w:rsidR="00D53489" w:rsidRDefault="00D53489" w:rsidP="00AE0F6A">
      <w:r w:rsidRPr="00D53489">
        <w:t xml:space="preserve">This project will employ a range of data wrangling, exploratory analysis, and scoring tech </w:t>
      </w:r>
      <w:proofErr w:type="spellStart"/>
      <w:r w:rsidRPr="00D53489">
        <w:t>niques</w:t>
      </w:r>
      <w:proofErr w:type="spellEnd"/>
      <w:r w:rsidRPr="00D53489">
        <w:t xml:space="preserve"> using Python. The following tools and methods will be utilized to analyze the IESO datasets: </w:t>
      </w:r>
    </w:p>
    <w:p w14:paraId="58A9CBF0" w14:textId="77777777" w:rsidR="00D53489" w:rsidRDefault="00D53489" w:rsidP="00AE0F6A">
      <w:pPr>
        <w:pStyle w:val="ListParagraph"/>
        <w:numPr>
          <w:ilvl w:val="0"/>
          <w:numId w:val="13"/>
        </w:numPr>
      </w:pPr>
      <w:r w:rsidRPr="00D53489">
        <w:rPr>
          <w:b/>
          <w:bCs/>
        </w:rPr>
        <w:lastRenderedPageBreak/>
        <w:t xml:space="preserve">Data Wrangling &amp; </w:t>
      </w:r>
      <w:proofErr w:type="gramStart"/>
      <w:r w:rsidRPr="00D53489">
        <w:rPr>
          <w:b/>
          <w:bCs/>
        </w:rPr>
        <w:t>Preprocessing:–</w:t>
      </w:r>
      <w:proofErr w:type="gramEnd"/>
      <w:r w:rsidRPr="00D53489">
        <w:t xml:space="preserve"> pandas for reading CSV files, filtering rows by zone/date, handling missing values, and performing aggregations (mean, std, counts)– </w:t>
      </w:r>
      <w:proofErr w:type="spellStart"/>
      <w:r w:rsidRPr="00D53489">
        <w:t>numpy</w:t>
      </w:r>
      <w:proofErr w:type="spellEnd"/>
      <w:r w:rsidRPr="00D53489">
        <w:t xml:space="preserve"> for statistical operations and array manipulation– Normalization using min-max scaling and z-score transformation </w:t>
      </w:r>
    </w:p>
    <w:p w14:paraId="7D8FF97D" w14:textId="77777777" w:rsidR="00D53489" w:rsidRDefault="00D53489" w:rsidP="00AE0F6A">
      <w:pPr>
        <w:pStyle w:val="ListParagraph"/>
        <w:numPr>
          <w:ilvl w:val="0"/>
          <w:numId w:val="13"/>
        </w:numPr>
      </w:pPr>
      <w:r w:rsidRPr="00D53489">
        <w:rPr>
          <w:b/>
          <w:bCs/>
        </w:rPr>
        <w:t xml:space="preserve">Data </w:t>
      </w:r>
      <w:proofErr w:type="gramStart"/>
      <w:r w:rsidRPr="00D53489">
        <w:rPr>
          <w:b/>
          <w:bCs/>
        </w:rPr>
        <w:t>Visualization:–</w:t>
      </w:r>
      <w:proofErr w:type="gramEnd"/>
      <w:r w:rsidRPr="00D53489">
        <w:t xml:space="preserve"> matplotlib and seaborn for line plots, boxplots, and heatmaps– </w:t>
      </w:r>
      <w:proofErr w:type="spellStart"/>
      <w:r w:rsidRPr="00D53489">
        <w:t>plotly</w:t>
      </w:r>
      <w:proofErr w:type="spellEnd"/>
      <w:r w:rsidRPr="00D53489">
        <w:t xml:space="preserve"> for interactive dashboards and choropleth maps </w:t>
      </w:r>
    </w:p>
    <w:p w14:paraId="25D6DE0B" w14:textId="77777777" w:rsidR="00D53489" w:rsidRDefault="00D53489" w:rsidP="00AE0F6A">
      <w:pPr>
        <w:pStyle w:val="ListParagraph"/>
        <w:numPr>
          <w:ilvl w:val="0"/>
          <w:numId w:val="13"/>
        </w:numPr>
      </w:pPr>
      <w:r w:rsidRPr="00D53489">
        <w:rPr>
          <w:b/>
          <w:bCs/>
        </w:rPr>
        <w:t xml:space="preserve">Scoring and Index </w:t>
      </w:r>
      <w:proofErr w:type="gramStart"/>
      <w:r w:rsidRPr="00D53489">
        <w:rPr>
          <w:b/>
          <w:bCs/>
        </w:rPr>
        <w:t>Development:–</w:t>
      </w:r>
      <w:proofErr w:type="gramEnd"/>
      <w:r w:rsidRPr="00D53489">
        <w:t xml:space="preserve"> Weighted Scoring Model (WSM) to derive final readiness scores– Optional AHP method to determine weights </w:t>
      </w:r>
    </w:p>
    <w:p w14:paraId="78899614" w14:textId="77777777" w:rsidR="00D53489" w:rsidRDefault="00D53489" w:rsidP="00AE0F6A">
      <w:pPr>
        <w:pStyle w:val="ListParagraph"/>
        <w:numPr>
          <w:ilvl w:val="0"/>
          <w:numId w:val="13"/>
        </w:numPr>
      </w:pPr>
      <w:r w:rsidRPr="00D53489">
        <w:rPr>
          <w:b/>
          <w:bCs/>
        </w:rPr>
        <w:t xml:space="preserve">Correlation &amp; Sensitivity </w:t>
      </w:r>
      <w:proofErr w:type="gramStart"/>
      <w:r w:rsidRPr="00D53489">
        <w:rPr>
          <w:b/>
          <w:bCs/>
        </w:rPr>
        <w:t>Analysis</w:t>
      </w:r>
      <w:r w:rsidRPr="00D53489">
        <w:t>:–</w:t>
      </w:r>
      <w:proofErr w:type="gramEnd"/>
      <w:r w:rsidRPr="00D53489">
        <w:t xml:space="preserve"> </w:t>
      </w:r>
      <w:proofErr w:type="spellStart"/>
      <w:proofErr w:type="gramStart"/>
      <w:r w:rsidRPr="00D53489">
        <w:t>scipy.stats</w:t>
      </w:r>
      <w:proofErr w:type="spellEnd"/>
      <w:proofErr w:type="gramEnd"/>
      <w:r w:rsidRPr="00D53489">
        <w:t xml:space="preserve"> for testing statistical relationships– Manual perturbation of weights to test robustness </w:t>
      </w:r>
    </w:p>
    <w:p w14:paraId="055E799A" w14:textId="77777777" w:rsidR="00D53489" w:rsidRDefault="00D53489" w:rsidP="00AE0F6A">
      <w:pPr>
        <w:pStyle w:val="ListParagraph"/>
        <w:numPr>
          <w:ilvl w:val="0"/>
          <w:numId w:val="13"/>
        </w:numPr>
      </w:pPr>
      <w:r w:rsidRPr="00D53489">
        <w:rPr>
          <w:b/>
          <w:bCs/>
        </w:rPr>
        <w:t xml:space="preserve">Documentation &amp; </w:t>
      </w:r>
      <w:proofErr w:type="gramStart"/>
      <w:r w:rsidRPr="00D53489">
        <w:rPr>
          <w:b/>
          <w:bCs/>
        </w:rPr>
        <w:t>Reproducibility:–</w:t>
      </w:r>
      <w:proofErr w:type="gramEnd"/>
      <w:r w:rsidRPr="00D53489">
        <w:t xml:space="preserve"> </w:t>
      </w:r>
      <w:proofErr w:type="spellStart"/>
      <w:r w:rsidRPr="00D53489">
        <w:t>Jupyter</w:t>
      </w:r>
      <w:proofErr w:type="spellEnd"/>
      <w:r w:rsidRPr="00D53489">
        <w:t xml:space="preserve"> Notebooks for step-by-step workflow– GitHub for version control and submission Tech Stack </w:t>
      </w:r>
    </w:p>
    <w:p w14:paraId="32EF33B6" w14:textId="77777777" w:rsidR="00D53489" w:rsidRPr="00D53489" w:rsidRDefault="00D53489" w:rsidP="00AE0F6A">
      <w:pPr>
        <w:pStyle w:val="ListParagraph"/>
        <w:numPr>
          <w:ilvl w:val="0"/>
          <w:numId w:val="13"/>
        </w:numPr>
        <w:rPr>
          <w:b/>
          <w:bCs/>
        </w:rPr>
      </w:pPr>
      <w:r w:rsidRPr="00D53489">
        <w:rPr>
          <w:b/>
          <w:bCs/>
        </w:rPr>
        <w:t xml:space="preserve">Python (Pandas, NumPy, </w:t>
      </w:r>
      <w:proofErr w:type="spellStart"/>
      <w:r w:rsidRPr="00D53489">
        <w:rPr>
          <w:b/>
          <w:bCs/>
        </w:rPr>
        <w:t>Plotly</w:t>
      </w:r>
      <w:proofErr w:type="spellEnd"/>
      <w:r w:rsidRPr="00D53489">
        <w:rPr>
          <w:b/>
          <w:bCs/>
        </w:rPr>
        <w:t xml:space="preserve">, Seaborn) </w:t>
      </w:r>
    </w:p>
    <w:p w14:paraId="45BE3743" w14:textId="77777777" w:rsidR="00D53489" w:rsidRPr="00D53489" w:rsidRDefault="00D53489" w:rsidP="00AE0F6A">
      <w:pPr>
        <w:pStyle w:val="ListParagraph"/>
        <w:numPr>
          <w:ilvl w:val="0"/>
          <w:numId w:val="13"/>
        </w:numPr>
        <w:rPr>
          <w:b/>
          <w:bCs/>
        </w:rPr>
      </w:pPr>
      <w:proofErr w:type="spellStart"/>
      <w:r w:rsidRPr="00D53489">
        <w:rPr>
          <w:b/>
          <w:bCs/>
        </w:rPr>
        <w:t>Jupyter</w:t>
      </w:r>
      <w:proofErr w:type="spellEnd"/>
      <w:r w:rsidRPr="00D53489">
        <w:rPr>
          <w:b/>
          <w:bCs/>
        </w:rPr>
        <w:t xml:space="preserve"> Notebooks </w:t>
      </w:r>
    </w:p>
    <w:p w14:paraId="12A3B436" w14:textId="56260F9C" w:rsidR="00D53489" w:rsidRPr="00D53489" w:rsidRDefault="00D53489" w:rsidP="00AE0F6A">
      <w:pPr>
        <w:pStyle w:val="ListParagraph"/>
        <w:numPr>
          <w:ilvl w:val="0"/>
          <w:numId w:val="13"/>
        </w:numPr>
        <w:rPr>
          <w:b/>
          <w:bCs/>
        </w:rPr>
      </w:pPr>
      <w:r w:rsidRPr="00D53489">
        <w:rPr>
          <w:b/>
          <w:bCs/>
        </w:rPr>
        <w:t xml:space="preserve">Power BI / Tableau (optional) </w:t>
      </w:r>
    </w:p>
    <w:p w14:paraId="75AA2212" w14:textId="45A0CED9" w:rsidR="00D53489" w:rsidRDefault="00D53489" w:rsidP="00AE0F6A">
      <w:pPr>
        <w:pStyle w:val="ListParagraph"/>
        <w:numPr>
          <w:ilvl w:val="0"/>
          <w:numId w:val="13"/>
        </w:numPr>
        <w:rPr>
          <w:b/>
          <w:bCs/>
        </w:rPr>
      </w:pPr>
      <w:r w:rsidRPr="00D53489">
        <w:rPr>
          <w:b/>
          <w:bCs/>
        </w:rPr>
        <w:t>GitHub</w:t>
      </w:r>
    </w:p>
    <w:p w14:paraId="4CB6B31A" w14:textId="77777777" w:rsidR="00D53489" w:rsidRDefault="00D53489" w:rsidP="00D53489">
      <w:pPr>
        <w:rPr>
          <w:b/>
          <w:bCs/>
        </w:rPr>
      </w:pPr>
    </w:p>
    <w:p w14:paraId="7048587C" w14:textId="77777777" w:rsidR="00D53489" w:rsidRDefault="00D53489" w:rsidP="005D5631">
      <w:pPr>
        <w:pStyle w:val="Heading1"/>
      </w:pPr>
      <w:bookmarkStart w:id="7" w:name="_Toc198581754"/>
      <w:r w:rsidRPr="00D53489">
        <w:t>Benefits of Research</w:t>
      </w:r>
      <w:bookmarkEnd w:id="7"/>
      <w:r w:rsidRPr="00D53489">
        <w:t xml:space="preserve"> </w:t>
      </w:r>
    </w:p>
    <w:p w14:paraId="5C8183E1" w14:textId="77777777" w:rsidR="00D53489" w:rsidRDefault="00D53489" w:rsidP="00D53489">
      <w:r w:rsidRPr="00D53489">
        <w:t xml:space="preserve">This project enables data-informed decisions in Smart Grid infrastructure planning, pro </w:t>
      </w:r>
      <w:proofErr w:type="spellStart"/>
      <w:r w:rsidRPr="00D53489">
        <w:t>vides</w:t>
      </w:r>
      <w:proofErr w:type="spellEnd"/>
      <w:r w:rsidRPr="00D53489">
        <w:t xml:space="preserve"> transparent and adaptable analysis </w:t>
      </w:r>
      <w:proofErr w:type="gramStart"/>
      <w:r w:rsidRPr="00D53489">
        <w:t>methods, and</w:t>
      </w:r>
      <w:proofErr w:type="gramEnd"/>
      <w:r w:rsidRPr="00D53489">
        <w:t xml:space="preserve"> supports regulatory and investment decision-making. The methodology supports automation, scaling to other regions, and </w:t>
      </w:r>
      <w:proofErr w:type="spellStart"/>
      <w:r w:rsidRPr="00D53489">
        <w:t>im</w:t>
      </w:r>
      <w:proofErr w:type="spellEnd"/>
      <w:r w:rsidRPr="00D53489">
        <w:t xml:space="preserve"> proved transparency for public and private stakeholders. </w:t>
      </w:r>
    </w:p>
    <w:p w14:paraId="3A55AFAD" w14:textId="77777777" w:rsidR="00F60C7F" w:rsidRDefault="00F60C7F" w:rsidP="00D53489"/>
    <w:p w14:paraId="62C9529D" w14:textId="77777777" w:rsidR="00D53489" w:rsidRPr="00F60C7F" w:rsidRDefault="00D53489" w:rsidP="005D5631">
      <w:pPr>
        <w:pStyle w:val="Heading1"/>
      </w:pPr>
      <w:bookmarkStart w:id="8" w:name="_Toc198581755"/>
      <w:r w:rsidRPr="00F60C7F">
        <w:t>Intended Audience</w:t>
      </w:r>
      <w:bookmarkEnd w:id="8"/>
      <w:r w:rsidRPr="00F60C7F">
        <w:t xml:space="preserve"> </w:t>
      </w:r>
    </w:p>
    <w:p w14:paraId="1A6140D2" w14:textId="77777777" w:rsidR="00F60C7F" w:rsidRDefault="00D53489" w:rsidP="00D53489">
      <w:pPr>
        <w:pStyle w:val="ListParagraph"/>
        <w:numPr>
          <w:ilvl w:val="0"/>
          <w:numId w:val="14"/>
        </w:numPr>
      </w:pPr>
      <w:r w:rsidRPr="00D53489">
        <w:t xml:space="preserve">Energy policymakers and regulators </w:t>
      </w:r>
    </w:p>
    <w:p w14:paraId="2547AA27" w14:textId="77777777" w:rsidR="00F60C7F" w:rsidRDefault="00D53489" w:rsidP="00D53489">
      <w:pPr>
        <w:pStyle w:val="ListParagraph"/>
        <w:numPr>
          <w:ilvl w:val="0"/>
          <w:numId w:val="14"/>
        </w:numPr>
      </w:pPr>
      <w:r w:rsidRPr="00D53489">
        <w:t xml:space="preserve">Utility companies and system operators </w:t>
      </w:r>
    </w:p>
    <w:p w14:paraId="1333729F" w14:textId="1981D7FC" w:rsidR="00F60C7F" w:rsidRPr="00F60C7F" w:rsidRDefault="00D53489" w:rsidP="00D53489">
      <w:pPr>
        <w:pStyle w:val="ListParagraph"/>
        <w:numPr>
          <w:ilvl w:val="0"/>
          <w:numId w:val="14"/>
        </w:numPr>
      </w:pPr>
      <w:r w:rsidRPr="00D53489">
        <w:t xml:space="preserve">Infrastructure investors </w:t>
      </w:r>
      <w:r w:rsidRPr="00F60C7F">
        <w:rPr>
          <w:szCs w:val="22"/>
        </w:rPr>
        <w:t>Academic researchers and students</w:t>
      </w:r>
      <w:r w:rsidRPr="00F60C7F">
        <w:rPr>
          <w:b/>
          <w:bCs/>
          <w:sz w:val="32"/>
          <w:szCs w:val="32"/>
        </w:rPr>
        <w:t xml:space="preserve"> </w:t>
      </w:r>
    </w:p>
    <w:p w14:paraId="565791EF" w14:textId="77777777" w:rsidR="00F60C7F" w:rsidRDefault="00F60C7F" w:rsidP="00D53489">
      <w:pPr>
        <w:rPr>
          <w:b/>
          <w:bCs/>
          <w:sz w:val="32"/>
          <w:szCs w:val="32"/>
        </w:rPr>
      </w:pPr>
    </w:p>
    <w:p w14:paraId="0046DF16" w14:textId="77777777" w:rsidR="00F60C7F" w:rsidRDefault="00D53489" w:rsidP="005D5631">
      <w:pPr>
        <w:pStyle w:val="Heading1"/>
      </w:pPr>
      <w:bookmarkStart w:id="9" w:name="_Toc198581756"/>
      <w:r w:rsidRPr="00D53489">
        <w:t xml:space="preserve">Justification </w:t>
      </w:r>
      <w:r w:rsidRPr="00F60C7F">
        <w:t>of References and Related Work</w:t>
      </w:r>
      <w:bookmarkEnd w:id="9"/>
      <w:r w:rsidRPr="00D53489">
        <w:t xml:space="preserve"> </w:t>
      </w:r>
    </w:p>
    <w:p w14:paraId="36DFD261" w14:textId="77777777" w:rsidR="00F60C7F" w:rsidRDefault="00D53489" w:rsidP="00D53489">
      <w:r w:rsidRPr="00D53489">
        <w:t xml:space="preserve">Key references from peer-reviewed literature were selected to support the methodology and context: </w:t>
      </w:r>
    </w:p>
    <w:p w14:paraId="45202978" w14:textId="77777777" w:rsidR="00F60C7F" w:rsidRDefault="00D53489" w:rsidP="00D53489">
      <w:pPr>
        <w:pStyle w:val="ListParagraph"/>
        <w:numPr>
          <w:ilvl w:val="0"/>
          <w:numId w:val="15"/>
        </w:numPr>
      </w:pPr>
      <w:r w:rsidRPr="00D53489">
        <w:t xml:space="preserve">H. Asadi </w:t>
      </w:r>
      <w:proofErr w:type="spellStart"/>
      <w:r w:rsidRPr="00D53489">
        <w:t>Aghajari</w:t>
      </w:r>
      <w:proofErr w:type="spellEnd"/>
      <w:r w:rsidRPr="00D53489">
        <w:t xml:space="preserve"> et al., Applied Energy, 2025– RES &amp; cybersecurity </w:t>
      </w:r>
    </w:p>
    <w:p w14:paraId="14671660" w14:textId="77777777" w:rsidR="00F60C7F" w:rsidRDefault="00D53489" w:rsidP="00D53489">
      <w:pPr>
        <w:pStyle w:val="ListParagraph"/>
        <w:numPr>
          <w:ilvl w:val="0"/>
          <w:numId w:val="15"/>
        </w:numPr>
      </w:pPr>
      <w:r w:rsidRPr="00D53489">
        <w:t xml:space="preserve">N. Xu et al., Energies, 2025– Smart grid RL frameworks </w:t>
      </w:r>
    </w:p>
    <w:p w14:paraId="70B26EF8" w14:textId="77777777" w:rsidR="00F60C7F" w:rsidRDefault="00D53489" w:rsidP="00D53489">
      <w:pPr>
        <w:pStyle w:val="ListParagraph"/>
        <w:numPr>
          <w:ilvl w:val="0"/>
          <w:numId w:val="15"/>
        </w:numPr>
      </w:pPr>
      <w:r w:rsidRPr="00D53489">
        <w:t xml:space="preserve">V. Ethirajan et al., J. of Elec. Sys. &amp; Info Tech, 2025– Reliability metrics </w:t>
      </w:r>
    </w:p>
    <w:p w14:paraId="0308E3AC" w14:textId="77777777" w:rsidR="00F60C7F" w:rsidRDefault="00D53489" w:rsidP="00D53489">
      <w:pPr>
        <w:pStyle w:val="ListParagraph"/>
        <w:numPr>
          <w:ilvl w:val="0"/>
          <w:numId w:val="15"/>
        </w:numPr>
      </w:pPr>
      <w:r w:rsidRPr="00D53489">
        <w:lastRenderedPageBreak/>
        <w:t xml:space="preserve">G.B. Gaggero et al., IEEE Access, 2025– Anomaly detection </w:t>
      </w:r>
    </w:p>
    <w:p w14:paraId="67E92A7E" w14:textId="452A0D9F" w:rsidR="00F60C7F" w:rsidRDefault="00D53489" w:rsidP="00D53489">
      <w:pPr>
        <w:pStyle w:val="ListParagraph"/>
        <w:numPr>
          <w:ilvl w:val="0"/>
          <w:numId w:val="15"/>
        </w:numPr>
      </w:pPr>
      <w:r w:rsidRPr="00D53489">
        <w:t xml:space="preserve">H. Dincer et al., Renewable &amp; Sust. Energy Reviews, 2025– MCDM investment </w:t>
      </w:r>
    </w:p>
    <w:p w14:paraId="383F7247" w14:textId="77777777" w:rsidR="00F60C7F" w:rsidRDefault="00D53489" w:rsidP="00D53489">
      <w:pPr>
        <w:pStyle w:val="ListParagraph"/>
        <w:numPr>
          <w:ilvl w:val="0"/>
          <w:numId w:val="15"/>
        </w:numPr>
      </w:pPr>
      <w:r w:rsidRPr="00D53489">
        <w:t xml:space="preserve">M.G.M. </w:t>
      </w:r>
      <w:proofErr w:type="spellStart"/>
      <w:r w:rsidRPr="00D53489">
        <w:t>Almihat</w:t>
      </w:r>
      <w:proofErr w:type="spellEnd"/>
      <w:r w:rsidRPr="00D53489">
        <w:t xml:space="preserve"> et al., Energies, 2025– Microgrid policy &amp; urban integration Expected Outcomes </w:t>
      </w:r>
    </w:p>
    <w:p w14:paraId="5E273673" w14:textId="77777777" w:rsidR="00F60C7F" w:rsidRDefault="00D53489" w:rsidP="00D53489">
      <w:pPr>
        <w:pStyle w:val="ListParagraph"/>
        <w:numPr>
          <w:ilvl w:val="0"/>
          <w:numId w:val="15"/>
        </w:numPr>
      </w:pPr>
      <w:r w:rsidRPr="00D53489">
        <w:t xml:space="preserve">Smart Grid Readiness Index for all Ontario zones </w:t>
      </w:r>
    </w:p>
    <w:p w14:paraId="08A3AA18" w14:textId="77777777" w:rsidR="00F60C7F" w:rsidRDefault="00D53489" w:rsidP="00D53489">
      <w:pPr>
        <w:pStyle w:val="ListParagraph"/>
        <w:numPr>
          <w:ilvl w:val="0"/>
          <w:numId w:val="15"/>
        </w:numPr>
      </w:pPr>
      <w:r w:rsidRPr="00D53489">
        <w:t xml:space="preserve">Zonal dashboards for volatility, pricing, and outages </w:t>
      </w:r>
    </w:p>
    <w:p w14:paraId="54B8881C" w14:textId="64D98A83" w:rsidR="00F60C7F" w:rsidRDefault="00D53489" w:rsidP="00D53489">
      <w:pPr>
        <w:pStyle w:val="ListParagraph"/>
        <w:numPr>
          <w:ilvl w:val="0"/>
          <w:numId w:val="15"/>
        </w:numPr>
      </w:pPr>
      <w:r w:rsidRPr="00D53489">
        <w:t>Policy insights for targeted Smart Grid investments</w:t>
      </w:r>
    </w:p>
    <w:p w14:paraId="511345C3" w14:textId="77777777" w:rsidR="00F60C7F" w:rsidRDefault="00F60C7F" w:rsidP="00F60C7F">
      <w:pPr>
        <w:pStyle w:val="ListParagraph"/>
      </w:pPr>
    </w:p>
    <w:p w14:paraId="338A8F28" w14:textId="77777777" w:rsidR="00F60C7F" w:rsidRDefault="00D53489" w:rsidP="005D5631">
      <w:pPr>
        <w:pStyle w:val="Heading1"/>
      </w:pPr>
      <w:r w:rsidRPr="00F60C7F">
        <w:t xml:space="preserve"> </w:t>
      </w:r>
      <w:bookmarkStart w:id="10" w:name="_Toc198581757"/>
      <w:r w:rsidRPr="00F60C7F">
        <w:t>Limitations and Future Work</w:t>
      </w:r>
      <w:bookmarkEnd w:id="10"/>
      <w:r w:rsidRPr="00D53489">
        <w:t xml:space="preserve"> </w:t>
      </w:r>
    </w:p>
    <w:p w14:paraId="3E59A4D7" w14:textId="464A82D9" w:rsidR="00D53489" w:rsidRPr="00D53489" w:rsidRDefault="00D53489" w:rsidP="00D53489">
      <w:r w:rsidRPr="00D53489">
        <w:t>Limitations include lack of DER penetration data and customer-level insights. Future work may integrate GIS, machine learning models, or real-time IoT analytics to enhance zone-level forecasting and automation.</w:t>
      </w:r>
    </w:p>
    <w:sectPr w:rsidR="00D53489" w:rsidRPr="00D53489" w:rsidSect="00297C4C">
      <w:footerReference w:type="default" r:id="rId1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5CD49" w14:textId="77777777" w:rsidR="00931231" w:rsidRDefault="00931231" w:rsidP="00B52108">
      <w:r>
        <w:separator/>
      </w:r>
    </w:p>
    <w:p w14:paraId="3431574A" w14:textId="77777777" w:rsidR="00931231" w:rsidRDefault="00931231"/>
  </w:endnote>
  <w:endnote w:type="continuationSeparator" w:id="0">
    <w:p w14:paraId="520B6306" w14:textId="77777777" w:rsidR="00931231" w:rsidRDefault="00931231" w:rsidP="00B52108">
      <w:r>
        <w:continuationSeparator/>
      </w:r>
    </w:p>
    <w:p w14:paraId="19E2C256" w14:textId="77777777" w:rsidR="00931231" w:rsidRDefault="00931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439065"/>
      <w:docPartObj>
        <w:docPartGallery w:val="Page Numbers (Top of Page)"/>
        <w:docPartUnique/>
      </w:docPartObj>
    </w:sdtPr>
    <w:sdtContent>
      <w:p w14:paraId="37C71342"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73718" w14:textId="77777777" w:rsidR="00931231" w:rsidRDefault="00931231" w:rsidP="00B52108">
      <w:r>
        <w:separator/>
      </w:r>
    </w:p>
    <w:p w14:paraId="4C695F65" w14:textId="77777777" w:rsidR="00931231" w:rsidRDefault="00931231"/>
  </w:footnote>
  <w:footnote w:type="continuationSeparator" w:id="0">
    <w:p w14:paraId="4932F7D1" w14:textId="77777777" w:rsidR="00931231" w:rsidRDefault="00931231" w:rsidP="00B52108">
      <w:r>
        <w:continuationSeparator/>
      </w:r>
    </w:p>
    <w:p w14:paraId="4359E112" w14:textId="77777777" w:rsidR="00931231" w:rsidRDefault="00931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58E32" w14:textId="77777777" w:rsidR="00BB2847" w:rsidRDefault="00BB2847" w:rsidP="00BB2847">
    <w:pPr>
      <w:spacing w:after="0"/>
      <w:jc w:val="right"/>
      <w:rPr>
        <w:rFonts w:cs="Arial"/>
        <w:b/>
        <w:sz w:val="20"/>
        <w:szCs w:val="20"/>
      </w:rPr>
    </w:pPr>
  </w:p>
  <w:p w14:paraId="2ABCF8DF" w14:textId="77777777" w:rsidR="00BB2847" w:rsidRDefault="00BB2847" w:rsidP="00403063">
    <w:pPr>
      <w:spacing w:after="0"/>
      <w:jc w:val="right"/>
      <w:rPr>
        <w:rFonts w:cs="Arial"/>
        <w:b/>
        <w:sz w:val="20"/>
        <w:szCs w:val="20"/>
      </w:rPr>
    </w:pPr>
  </w:p>
  <w:p w14:paraId="2EA43B49" w14:textId="77777777" w:rsidR="008F3CE6" w:rsidRDefault="008F3CE6" w:rsidP="00403063">
    <w:pPr>
      <w:spacing w:after="0"/>
      <w:jc w:val="right"/>
      <w:rPr>
        <w:rFonts w:cs="Arial"/>
        <w:b/>
        <w:sz w:val="20"/>
        <w:szCs w:val="20"/>
      </w:rPr>
    </w:pPr>
  </w:p>
  <w:p w14:paraId="6D8322C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700AC8"/>
    <w:multiLevelType w:val="hybridMultilevel"/>
    <w:tmpl w:val="A6161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DE43E3"/>
    <w:multiLevelType w:val="hybridMultilevel"/>
    <w:tmpl w:val="50983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EA66DF"/>
    <w:multiLevelType w:val="hybridMultilevel"/>
    <w:tmpl w:val="8A9C1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1A050B"/>
    <w:multiLevelType w:val="hybridMultilevel"/>
    <w:tmpl w:val="2A4C2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9736390">
    <w:abstractNumId w:val="0"/>
  </w:num>
  <w:num w:numId="2" w16cid:durableId="2128962341">
    <w:abstractNumId w:val="1"/>
  </w:num>
  <w:num w:numId="3" w16cid:durableId="497162364">
    <w:abstractNumId w:val="2"/>
  </w:num>
  <w:num w:numId="4" w16cid:durableId="529146553">
    <w:abstractNumId w:val="3"/>
  </w:num>
  <w:num w:numId="5" w16cid:durableId="1986278143">
    <w:abstractNumId w:val="4"/>
  </w:num>
  <w:num w:numId="6" w16cid:durableId="1022517022">
    <w:abstractNumId w:val="9"/>
  </w:num>
  <w:num w:numId="7" w16cid:durableId="258949573">
    <w:abstractNumId w:val="5"/>
  </w:num>
  <w:num w:numId="8" w16cid:durableId="1070037201">
    <w:abstractNumId w:val="6"/>
  </w:num>
  <w:num w:numId="9" w16cid:durableId="1439528036">
    <w:abstractNumId w:val="7"/>
  </w:num>
  <w:num w:numId="10" w16cid:durableId="1284847424">
    <w:abstractNumId w:val="8"/>
  </w:num>
  <w:num w:numId="11" w16cid:durableId="1926718328">
    <w:abstractNumId w:val="10"/>
  </w:num>
  <w:num w:numId="12" w16cid:durableId="414790883">
    <w:abstractNumId w:val="13"/>
  </w:num>
  <w:num w:numId="13" w16cid:durableId="417795096">
    <w:abstractNumId w:val="11"/>
  </w:num>
  <w:num w:numId="14" w16cid:durableId="482234070">
    <w:abstractNumId w:val="12"/>
  </w:num>
  <w:num w:numId="15" w16cid:durableId="1673290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64BDC"/>
    <w:rsid w:val="000B6ECA"/>
    <w:rsid w:val="000C6039"/>
    <w:rsid w:val="000C6E1F"/>
    <w:rsid w:val="000F2E32"/>
    <w:rsid w:val="000F4FFC"/>
    <w:rsid w:val="000F6B73"/>
    <w:rsid w:val="000F6CF3"/>
    <w:rsid w:val="00101944"/>
    <w:rsid w:val="0010617A"/>
    <w:rsid w:val="00106199"/>
    <w:rsid w:val="001502AD"/>
    <w:rsid w:val="00151336"/>
    <w:rsid w:val="00170A4C"/>
    <w:rsid w:val="00195753"/>
    <w:rsid w:val="001D3D92"/>
    <w:rsid w:val="0020419D"/>
    <w:rsid w:val="00211D4A"/>
    <w:rsid w:val="00236CE7"/>
    <w:rsid w:val="0026113B"/>
    <w:rsid w:val="00290E72"/>
    <w:rsid w:val="00297AE9"/>
    <w:rsid w:val="00297C4C"/>
    <w:rsid w:val="002C635D"/>
    <w:rsid w:val="003041DF"/>
    <w:rsid w:val="0033721A"/>
    <w:rsid w:val="00337368"/>
    <w:rsid w:val="00352714"/>
    <w:rsid w:val="00360D32"/>
    <w:rsid w:val="003723E4"/>
    <w:rsid w:val="003731F8"/>
    <w:rsid w:val="003B41EE"/>
    <w:rsid w:val="003B59BE"/>
    <w:rsid w:val="003B7188"/>
    <w:rsid w:val="003E4578"/>
    <w:rsid w:val="00403063"/>
    <w:rsid w:val="00424F66"/>
    <w:rsid w:val="00430467"/>
    <w:rsid w:val="004501F6"/>
    <w:rsid w:val="00471612"/>
    <w:rsid w:val="00480781"/>
    <w:rsid w:val="00483462"/>
    <w:rsid w:val="004D3B0F"/>
    <w:rsid w:val="004F0E9F"/>
    <w:rsid w:val="00530AFF"/>
    <w:rsid w:val="005421D0"/>
    <w:rsid w:val="00543800"/>
    <w:rsid w:val="005452C5"/>
    <w:rsid w:val="00551EDA"/>
    <w:rsid w:val="00552D7A"/>
    <w:rsid w:val="0055472C"/>
    <w:rsid w:val="00575A7C"/>
    <w:rsid w:val="005811C6"/>
    <w:rsid w:val="00595F22"/>
    <w:rsid w:val="005A429D"/>
    <w:rsid w:val="005A7051"/>
    <w:rsid w:val="005B4652"/>
    <w:rsid w:val="005C45AE"/>
    <w:rsid w:val="005C4DD1"/>
    <w:rsid w:val="005D35BB"/>
    <w:rsid w:val="005D5631"/>
    <w:rsid w:val="005E5C44"/>
    <w:rsid w:val="005E7822"/>
    <w:rsid w:val="005F36FE"/>
    <w:rsid w:val="00616BFC"/>
    <w:rsid w:val="0062303C"/>
    <w:rsid w:val="00623E72"/>
    <w:rsid w:val="00643C68"/>
    <w:rsid w:val="00651B88"/>
    <w:rsid w:val="00654E36"/>
    <w:rsid w:val="006645E1"/>
    <w:rsid w:val="006900BD"/>
    <w:rsid w:val="00695842"/>
    <w:rsid w:val="006A2BFD"/>
    <w:rsid w:val="006B0608"/>
    <w:rsid w:val="006B090D"/>
    <w:rsid w:val="006C2040"/>
    <w:rsid w:val="006C7065"/>
    <w:rsid w:val="00704BCF"/>
    <w:rsid w:val="00745E50"/>
    <w:rsid w:val="00747BDE"/>
    <w:rsid w:val="00751BA9"/>
    <w:rsid w:val="007A4BB3"/>
    <w:rsid w:val="007B680C"/>
    <w:rsid w:val="007D430C"/>
    <w:rsid w:val="007F091D"/>
    <w:rsid w:val="007F1B9E"/>
    <w:rsid w:val="00811FE5"/>
    <w:rsid w:val="008354C2"/>
    <w:rsid w:val="0084659C"/>
    <w:rsid w:val="0087010F"/>
    <w:rsid w:val="008925C4"/>
    <w:rsid w:val="008E7B03"/>
    <w:rsid w:val="008F3091"/>
    <w:rsid w:val="008F3CE6"/>
    <w:rsid w:val="00911728"/>
    <w:rsid w:val="0091438A"/>
    <w:rsid w:val="00924FD0"/>
    <w:rsid w:val="00931231"/>
    <w:rsid w:val="009404DE"/>
    <w:rsid w:val="00960D6C"/>
    <w:rsid w:val="00990245"/>
    <w:rsid w:val="009B7998"/>
    <w:rsid w:val="009F1E14"/>
    <w:rsid w:val="00A11CB1"/>
    <w:rsid w:val="00A47477"/>
    <w:rsid w:val="00A565DD"/>
    <w:rsid w:val="00A86CBC"/>
    <w:rsid w:val="00A87C3B"/>
    <w:rsid w:val="00A91614"/>
    <w:rsid w:val="00AA5EB3"/>
    <w:rsid w:val="00AB4117"/>
    <w:rsid w:val="00AE0F6A"/>
    <w:rsid w:val="00B1555D"/>
    <w:rsid w:val="00B218A5"/>
    <w:rsid w:val="00B259D8"/>
    <w:rsid w:val="00B359AC"/>
    <w:rsid w:val="00B52108"/>
    <w:rsid w:val="00B53088"/>
    <w:rsid w:val="00B9366B"/>
    <w:rsid w:val="00BA08D5"/>
    <w:rsid w:val="00BA12BF"/>
    <w:rsid w:val="00BA448F"/>
    <w:rsid w:val="00BB11FE"/>
    <w:rsid w:val="00BB2847"/>
    <w:rsid w:val="00BC2CDC"/>
    <w:rsid w:val="00BE7F7F"/>
    <w:rsid w:val="00BF3576"/>
    <w:rsid w:val="00C02626"/>
    <w:rsid w:val="00C10E4E"/>
    <w:rsid w:val="00C1605F"/>
    <w:rsid w:val="00C46A33"/>
    <w:rsid w:val="00C748FC"/>
    <w:rsid w:val="00C84396"/>
    <w:rsid w:val="00C86BF2"/>
    <w:rsid w:val="00D065B3"/>
    <w:rsid w:val="00D07506"/>
    <w:rsid w:val="00D44B35"/>
    <w:rsid w:val="00D50231"/>
    <w:rsid w:val="00D53489"/>
    <w:rsid w:val="00D555A6"/>
    <w:rsid w:val="00D70AA0"/>
    <w:rsid w:val="00D839E7"/>
    <w:rsid w:val="00DA5D6E"/>
    <w:rsid w:val="00DB175B"/>
    <w:rsid w:val="00DC17D3"/>
    <w:rsid w:val="00DC51E3"/>
    <w:rsid w:val="00DE2D39"/>
    <w:rsid w:val="00DF6D17"/>
    <w:rsid w:val="00E0503B"/>
    <w:rsid w:val="00E12539"/>
    <w:rsid w:val="00E317F7"/>
    <w:rsid w:val="00E31AB6"/>
    <w:rsid w:val="00E4406A"/>
    <w:rsid w:val="00E57830"/>
    <w:rsid w:val="00E62D23"/>
    <w:rsid w:val="00E7161F"/>
    <w:rsid w:val="00E73E4D"/>
    <w:rsid w:val="00E76FE3"/>
    <w:rsid w:val="00E82355"/>
    <w:rsid w:val="00E943C4"/>
    <w:rsid w:val="00EA6E89"/>
    <w:rsid w:val="00EB41C0"/>
    <w:rsid w:val="00EB4798"/>
    <w:rsid w:val="00EE02F8"/>
    <w:rsid w:val="00EE4683"/>
    <w:rsid w:val="00EF409F"/>
    <w:rsid w:val="00F047A9"/>
    <w:rsid w:val="00F12059"/>
    <w:rsid w:val="00F2016C"/>
    <w:rsid w:val="00F226C7"/>
    <w:rsid w:val="00F43300"/>
    <w:rsid w:val="00F57E7B"/>
    <w:rsid w:val="00F60C7F"/>
    <w:rsid w:val="00F62212"/>
    <w:rsid w:val="00FA0B40"/>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A92A6"/>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D5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50</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Shraddha P</cp:lastModifiedBy>
  <cp:revision>3</cp:revision>
  <cp:lastPrinted>2016-05-18T13:48:00Z</cp:lastPrinted>
  <dcterms:created xsi:type="dcterms:W3CDTF">2025-06-23T18:40:00Z</dcterms:created>
  <dcterms:modified xsi:type="dcterms:W3CDTF">2025-06-23T22:38:00Z</dcterms:modified>
</cp:coreProperties>
</file>