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BUSINESS REQUIREMENTS DOCUMENT</w:t>
      </w:r>
    </w:p>
    <w:p>
      <w:pPr>
        <w:spacing w:after="100" w:before="200"/>
        <w:jc w:val="center"/>
      </w:pPr>
      <w:r>
        <w:rPr>
          <w:color w:val="2E5395"/>
          <w:sz w:val="26"/>
          <w:szCs w:val="26"/>
        </w:rPr>
        <w:t xml:space="preserve">Reducing 4-Hour A&amp;E Breaches Through Patient Flow Redesign</w:t>
      </w:r>
    </w:p>
    <w:p>
      <w:pPr>
        <w:spacing w:after="600" w:before="100"/>
        <w:jc w:val="center"/>
      </w:pPr>
      <w:r>
        <w:rPr>
          <w:i/>
          <w:iCs/>
          <w:color w:val="555555"/>
          <w:sz w:val="20"/>
          <w:szCs w:val="20"/>
        </w:rPr>
        <w:t xml:space="preserve">Thameswood NHS Foundation Trust (illustrative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Document status</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Final — v1.0</w:t>
            </w:r>
          </w:p>
        </w:tc>
      </w:tr>
      <w:tr>
        <w:tc>
          <w:tcPr>
            <w:tcW w:type="dxa" w:w="3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Prepared by</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Shravan Kanamadi, Business Analyst</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29 June 2026</w:t>
            </w:r>
          </w:p>
        </w:tc>
      </w:tr>
      <w:tr>
        <w:tc>
          <w:tcPr>
            <w:tcW w:type="dxa" w:w="3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Project sponsor</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Director of Urgent &amp; Emergency Care (illustrative)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Distribution</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UEC Programme Board, Operations Director, Informatics Lead, Nursing Workforce Lead</w:t>
            </w:r>
          </w:p>
        </w:tc>
      </w:tr>
      <w:tr>
        <w:tc>
          <w:tcPr>
            <w:tcW w:type="dxa" w:w="3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Portfolio case study — uses NHS England published statistics; trust name and quotes are illustrative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Thameswood NHS Foundation Trust's Type 1 Emergency Department breached the NHS 95% four-hour standard in every month of the 2025/26 financial year, peaking at a 44.3% breach rate in November 2025. This mirrors the national picture: NHS England reported a 36.2% national breach rate in March 2026, against a target of 5% or fewer breaches.</w:t>
      </w:r>
    </w:p>
    <w:p>
      <w:pPr>
        <w:spacing w:after="160"/>
      </w:pPr>
      <w:r>
        <w:t xml:space="preserve">This document defines the business requirements for a Patient Flow Improvement Programme aimed at reducing avoidable 4-hour breaches by 15 percentage points within two quarters, without requiring additional capital investment in the department's physical footprint.</w:t>
      </w:r>
    </w:p>
    <w:p>
      <w:pPr>
        <w:spacing w:after="160"/>
      </w:pPr>
      <w:r>
        <w:t xml:space="preserve">The recommended scope prioritises three intervention areas, ranked by expected impact against effort: (1) front-door rapid assessment redesign, (2) ambulatory care pathway diversion for low-acuity attendances, and (3) bed-board visibility to reduce decision-to-admit delay. Each is detailed in Section 6.</w:t>
      </w:r>
    </w:p>
    <w:p>
      <w:pPr>
        <w:pStyle w:val="Heading1"/>
      </w:pPr>
      <w:r>
        <w:t xml:space="preserve">2. Business Context and Problem Statement</w:t>
      </w:r>
    </w:p>
    <w:p>
      <w:pPr>
        <w:pStyle w:val="Heading2"/>
      </w:pPr>
      <w:r>
        <w:t xml:space="preserve">2.1 Background</w:t>
      </w:r>
    </w:p>
    <w:p>
      <w:pPr>
        <w:spacing w:after="160"/>
      </w:pPr>
      <w:r>
        <w:t xml:space="preserve">The NHS constitutional standard requires 95% of A&amp;E attendances to be admitted, transferred, or discharged within four hours of arrival. National performance against this standard has not been met since 2015, and analysis published by the House of Commons Library confirms the decline has continued into 2026.</w:t>
      </w:r>
    </w:p>
    <w:p>
      <w:pPr>
        <w:spacing w:after="160"/>
      </w:pPr>
      <w:r>
        <w:t xml:space="preserve">Thameswood's emergency department experienced its sharpest deterioration between September and December 2025, coinciding with rising attendance volumes (up 28% versus the April 2025 baseline) and a nursing vacancy rate that climbed to 8.2% in November 2025.</w:t>
      </w:r>
    </w:p>
    <w:p>
      <w:pPr>
        <w:pStyle w:val="Heading2"/>
      </w:pPr>
      <w:r>
        <w:t xml:space="preserve">2.2 Problem Statement</w:t>
      </w:r>
    </w:p>
    <w:p>
      <w:pPr>
        <w:spacing w:after="160"/>
      </w:pPr>
      <w:r>
        <w:t xml:space="preserve">Patients are spending longer than the clinically recommended four hours in the emergency department at a rate that breaches regulatory standards, creates patient safety risk (notably the rise in 12-hour trolley waits), and exposes the Trust to NHS England performance escalation. The root causes are not yet formally diagnosed at process level — this is addressed in Section 4.</w:t>
      </w:r>
    </w:p>
    <w:p>
      <w:pPr>
        <w:pStyle w:val="Heading2"/>
      </w:pPr>
      <w:r>
        <w:t xml:space="preserve">2.3 Business Objectives</w:t>
      </w:r>
    </w:p>
    <w:p>
      <w:pPr>
        <w:pStyle w:val="ListParagraph"/>
        <w:numPr>
          <w:ilvl w:val="0"/>
          <w:numId w:val="2"/>
        </w:numPr>
        <w:spacing w:after="80"/>
      </w:pPr>
      <w:r>
        <w:t xml:space="preserve">Reduce the 4-hour breach rate from a 12-month average of 36.4% to 21% or below within two quarters of programme go-live.</w:t>
      </w:r>
    </w:p>
    <w:p>
      <w:pPr>
        <w:pStyle w:val="ListParagraph"/>
        <w:numPr>
          <w:ilvl w:val="0"/>
          <w:numId w:val="2"/>
        </w:numPr>
        <w:spacing w:after="80"/>
      </w:pPr>
      <w:r>
        <w:t xml:space="preserve">Reduce 12-hour trolley waits (post decision-to-admit) by 50% within the same period.</w:t>
      </w:r>
    </w:p>
    <w:p>
      <w:pPr>
        <w:pStyle w:val="ListParagraph"/>
        <w:numPr>
          <w:ilvl w:val="0"/>
          <w:numId w:val="2"/>
        </w:numPr>
        <w:spacing w:after="80"/>
      </w:pPr>
      <w:r>
        <w:t xml:space="preserve">Achieve the above without an increase in establishment headcount, working within current nurse staffing levels.</w:t>
      </w:r>
    </w:p>
    <w:p>
      <w:pPr>
        <w:pStyle w:val="ListParagraph"/>
        <w:numPr>
          <w:ilvl w:val="0"/>
          <w:numId w:val="2"/>
        </w:numPr>
        <w:spacing w:after="80"/>
      </w:pPr>
      <w:r>
        <w:t xml:space="preserve">Improve visibility of patient flow data for operational managers, enabling daily (not just monthly) decision-making.</w:t>
      </w:r>
    </w:p>
    <w:p>
      <w:pPr>
        <w:pStyle w:val="Heading1"/>
      </w:pPr>
      <w:r>
        <w:t xml:space="preserve">3. Scope</w:t>
      </w:r>
    </w:p>
    <w:p>
      <w:pPr>
        <w:pStyle w:val="Heading2"/>
      </w:pPr>
      <w:r>
        <w:t xml:space="preserve">3.1 In Scope</w:t>
      </w:r>
    </w:p>
    <w:p>
      <w:pPr>
        <w:pStyle w:val="ListParagraph"/>
        <w:numPr>
          <w:ilvl w:val="0"/>
          <w:numId w:val="3"/>
        </w:numPr>
        <w:spacing w:after="80"/>
      </w:pPr>
      <w:r>
        <w:t xml:space="preserve">Emergency Department (Type 1) patient journey from arrival to admission/discharge/transfer decision</w:t>
      </w:r>
    </w:p>
    <w:p>
      <w:pPr>
        <w:pStyle w:val="ListParagraph"/>
        <w:numPr>
          <w:ilvl w:val="0"/>
          <w:numId w:val="3"/>
        </w:numPr>
        <w:spacing w:after="80"/>
      </w:pPr>
      <w:r>
        <w:t xml:space="preserve">Ambulatory Care Unit referral pathway for ambulatory-sensitive presentations</w:t>
      </w:r>
    </w:p>
    <w:p>
      <w:pPr>
        <w:pStyle w:val="ListParagraph"/>
        <w:numPr>
          <w:ilvl w:val="0"/>
          <w:numId w:val="3"/>
        </w:numPr>
        <w:spacing w:after="80"/>
      </w:pPr>
      <w:r>
        <w:t xml:space="preserve">Bed management and site operations coordination process</w:t>
      </w:r>
    </w:p>
    <w:p>
      <w:pPr>
        <w:pStyle w:val="ListParagraph"/>
        <w:numPr>
          <w:ilvl w:val="0"/>
          <w:numId w:val="3"/>
        </w:numPr>
        <w:spacing w:after="80"/>
      </w:pPr>
      <w:r>
        <w:t xml:space="preserve">Reporting and dashboard requirements for UEC Programme Board</w:t>
      </w:r>
    </w:p>
    <w:p>
      <w:pPr>
        <w:pStyle w:val="Heading2"/>
      </w:pPr>
      <w:r>
        <w:t xml:space="preserve">3.2 Out of Scope</w:t>
      </w:r>
    </w:p>
    <w:p>
      <w:pPr>
        <w:pStyle w:val="ListParagraph"/>
        <w:numPr>
          <w:ilvl w:val="0"/>
          <w:numId w:val="3"/>
        </w:numPr>
        <w:spacing w:after="80"/>
      </w:pPr>
      <w:r>
        <w:t xml:space="preserve">Inpatient ward discharge process redesign (subject to a separate, linked workstream)</w:t>
      </w:r>
    </w:p>
    <w:p>
      <w:pPr>
        <w:pStyle w:val="ListParagraph"/>
        <w:numPr>
          <w:ilvl w:val="0"/>
          <w:numId w:val="3"/>
        </w:numPr>
        <w:spacing w:after="80"/>
      </w:pPr>
      <w:r>
        <w:t xml:space="preserve">Ambulance handover process (owned by regional ambulance trust, outside Thameswood's direct control)</w:t>
      </w:r>
    </w:p>
    <w:p>
      <w:pPr>
        <w:pStyle w:val="ListParagraph"/>
        <w:numPr>
          <w:ilvl w:val="0"/>
          <w:numId w:val="3"/>
        </w:numPr>
        <w:spacing w:after="80"/>
      </w:pPr>
      <w:r>
        <w:t xml:space="preserve">Capital works or estate expansion</w:t>
      </w:r>
    </w:p>
    <w:p>
      <w:pPr>
        <w:pStyle w:val="ListParagraph"/>
        <w:numPr>
          <w:ilvl w:val="0"/>
          <w:numId w:val="3"/>
        </w:numPr>
        <w:spacing w:after="80"/>
      </w:pPr>
      <w:r>
        <w:t xml:space="preserve">Workforce establishment increases / additional recruitment business case</w:t>
      </w:r>
    </w:p>
    <w:p>
      <w:pPr>
        <w:pStyle w:val="Heading1"/>
      </w:pPr>
      <w:r>
        <w:t xml:space="preserve">4. Stakeholder Analysis</w:t>
      </w:r>
    </w:p>
    <w:p>
      <w:pPr>
        <w:spacing w:after="160"/>
      </w:pPr>
      <w:r>
        <w:t xml:space="preserve">Full stakeholder register, RACI assignment, and engagement plan are maintained as a separate controlled document (see Stakeholder_Register.xlsx in the project repository). Summary of key stakeholder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5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Stakeholder</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Interest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Influence</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Engagement approach</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UEC Programme Board</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Accountable for delivery against NHS England standard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Monthly steering review</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ED Clinical Lead</w:t>
            </w:r>
          </w:p>
        </w:tc>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Clinical safety, workflow ownership</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Weekly working group</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Nursing Workforce Lead</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Staffing rota impact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Bi-weekly check-in</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Site Operations / Bed Managers</w:t>
            </w:r>
          </w:p>
        </w:tc>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Day-to-day flow execution</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Daily huddle participation</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Informatics / BI Team</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Dashboard build and data quality</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Sprint-based collaboration</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Patient Experience Lead</w:t>
            </w:r>
          </w:p>
        </w:tc>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Patient-facing impact of pathway changes</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Low-Medium</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Consulted at design gate</w:t>
            </w:r>
          </w:p>
        </w:tc>
      </w:tr>
    </w:tbl>
    <w:p>
      <w:pPr>
        <w:pStyle w:val="Heading1"/>
      </w:pPr>
      <w:r>
        <w:t xml:space="preserve">5. Current State Analysis</w:t>
      </w:r>
    </w:p>
    <w:p>
      <w:pPr>
        <w:spacing w:after="160"/>
      </w:pPr>
      <w:r>
        <w:t xml:space="preserve">Twelve months of trust-level attendance and performance data (April 2025–March 2026) were reviewed to identify the pattern of breach behaviour. Full dataset and methodology notes are provided in data/trust_ae_performance_apr25_mar26.csv and data/data_dictionary.md.</w:t>
      </w:r>
    </w:p>
    <w:p>
      <w:pPr>
        <w:pStyle w:val="Heading2"/>
      </w:pPr>
      <w:r>
        <w:t xml:space="preserve">5.1 Key Findings</w:t>
      </w:r>
    </w:p>
    <w:p>
      <w:pPr>
        <w:pStyle w:val="ListParagraph"/>
        <w:numPr>
          <w:ilvl w:val="0"/>
          <w:numId w:val="3"/>
        </w:numPr>
        <w:spacing w:after="80"/>
      </w:pPr>
      <w:r>
        <w:t xml:space="preserve">Breach rate rose from 31.6% (Apr-2025) to a peak of 44.3% (Nov-2025), tracking closely with the seasonal attendance increase, not a one-off event.</w:t>
      </w:r>
    </w:p>
    <w:p>
      <w:pPr>
        <w:pStyle w:val="ListParagraph"/>
        <w:numPr>
          <w:ilvl w:val="0"/>
          <w:numId w:val="3"/>
        </w:numPr>
        <w:spacing w:after="80"/>
      </w:pPr>
      <w:r>
        <w:t xml:space="preserve">12-hour trolley waits increased nearly 4x between July 2025 (54 cases) and November 2025 (244 cases) — a disproportionate rise relative to the ~16% increase in attendance volume over the same period, suggesting a downstream bed-availability bottleneck rather than a pure front-door capacity issue.</w:t>
      </w:r>
    </w:p>
    <w:p>
      <w:pPr>
        <w:pStyle w:val="ListParagraph"/>
        <w:numPr>
          <w:ilvl w:val="0"/>
          <w:numId w:val="3"/>
        </w:numPr>
        <w:spacing w:after="80"/>
      </w:pPr>
      <w:r>
        <w:t xml:space="preserve">Nursing vacancy rate peaked at 8.2% in the same month as the worst breach performance, indicating a probable (not yet confirmed) correlation between staffing gaps and flow deterioration that warrants root-cause validation with the workforce team.</w:t>
      </w:r>
    </w:p>
    <w:p>
      <w:pPr>
        <w:pStyle w:val="ListParagraph"/>
        <w:numPr>
          <w:ilvl w:val="0"/>
          <w:numId w:val="3"/>
        </w:numPr>
        <w:spacing w:after="80"/>
      </w:pPr>
      <w:r>
        <w:t xml:space="preserve">Emergency admission rate rose from 21.0% (Jul-2025) to 25.6% (Nov-2025) of total attendances — more patients are being admitted, not just attending, adding pressure further down the pathway.</w:t>
      </w:r>
    </w:p>
    <w:p>
      <w:pPr>
        <w:pStyle w:val="Heading2"/>
      </w:pPr>
      <w:r>
        <w:t xml:space="preserve">5.2 Process Map</w:t>
      </w:r>
    </w:p>
    <w:p>
      <w:pPr>
        <w:spacing w:after="160"/>
      </w:pPr>
      <w:r>
        <w:t xml:space="preserve">The current-state patient journey, from ambulance/walk-in arrival through to admission, transfer, or discharge decision, is documented in the accompanying process map (see diagrams/current_state_process_map.svg). Three handoff points were identified as high-risk for delay: triage-to-assessment, assessment-to-bed-request, and bed-request-to-admission.</w:t>
      </w:r>
    </w:p>
    <w:p>
      <w:pPr>
        <w:pStyle w:val="Heading1"/>
      </w:pPr>
      <w:r>
        <w:t xml:space="preserve">6. Proposed Solution and Future State</w:t>
      </w:r>
    </w:p>
    <w:p>
      <w:pPr>
        <w:pStyle w:val="Heading2"/>
      </w:pPr>
      <w:r>
        <w:t xml:space="preserve">6.1 Recommended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100"/>
        <w:gridCol w:w="21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Intervention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Target breach point</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Expected impact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Relative effort</w:t>
            </w:r>
          </w:p>
        </w:tc>
      </w:tr>
      <w:tr>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Front-door rapid assessment redesign</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Triage-to-assessment delay</w:t>
            </w:r>
          </w:p>
        </w:tc>
        <w:tc>
          <w:tcPr>
            <w:tcW w:type="dxa" w:w="2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Medium</w:t>
            </w:r>
          </w:p>
        </w:tc>
      </w:tr>
      <w:tr>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Ambulatory care pathway diversion</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Avoidable admissions / front-door volume</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Medium-High</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Low</w:t>
            </w:r>
          </w:p>
        </w:tc>
      </w:tr>
      <w:tr>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Real-time bed-board visibility tool</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Bed-request-to-admission delay</w:t>
            </w:r>
          </w:p>
        </w:tc>
        <w:tc>
          <w:tcPr>
            <w:tcW w:type="dxa" w:w="2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Medium</w:t>
            </w:r>
          </w:p>
        </w:tc>
      </w:tr>
      <w:tr>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Daily flow huddle with escalation triggers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Cross-cutting / governance</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Low</w:t>
            </w:r>
          </w:p>
        </w:tc>
      </w:tr>
    </w:tbl>
    <w:p>
      <w:pPr>
        <w:pStyle w:val="Heading2"/>
      </w:pPr>
      <w:r>
        <w:t xml:space="preserve">6.2 Functional Requirements (Bed-Board Visibility Tool)</w:t>
      </w:r>
    </w:p>
    <w:p>
      <w:pPr>
        <w:spacing w:after="160"/>
      </w:pPr>
      <w:r>
        <w:t xml:space="preserve">As the highest-effort technical component, functional requirements for the bed-board tool are detailed below as a representative sample; full requirements catalogue is maintained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FR-01</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System shall display real-time bed status (occupied / cleaning / available) by ward, refreshed at least every 5 minutes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FR-02</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System shall flag any patient awaiting bed allocation for longer than 60 minutes post decision-to-admit</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FR-03</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System shall allow site operations staff to manually override automated bed status with an audit trail</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FR-04</w:t>
            </w:r>
          </w:p>
        </w:tc>
        <w:tc>
          <w:tcPr>
            <w:tcW w:type="dxa" w:w="63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System shall provide a daily summary report exportable to the existing Power BI reporting layer</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FR-05</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System shall support filtering by directorate and ward for divisional-level reporting</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Could</w:t>
            </w:r>
          </w:p>
        </w:tc>
      </w:tr>
    </w:tbl>
    <w:p>
      <w:pPr>
        <w:pStyle w:val="Heading2"/>
      </w:pPr>
      <w:r>
        <w:t xml:space="preserve">6.3 Non-Functional Requirements</w:t>
      </w:r>
    </w:p>
    <w:p>
      <w:pPr>
        <w:pStyle w:val="ListParagraph"/>
        <w:numPr>
          <w:ilvl w:val="0"/>
          <w:numId w:val="3"/>
        </w:numPr>
        <w:spacing w:after="80"/>
      </w:pPr>
      <w:r>
        <w:t xml:space="preserve">Availability: system must be accessible 24/7 with planned maintenance windows outside 06:00–22:00</w:t>
      </w:r>
    </w:p>
    <w:p>
      <w:pPr>
        <w:pStyle w:val="ListParagraph"/>
        <w:numPr>
          <w:ilvl w:val="0"/>
          <w:numId w:val="3"/>
        </w:numPr>
        <w:spacing w:after="80"/>
      </w:pPr>
      <w:r>
        <w:t xml:space="preserve">Data latency: bed status updates must not exceed a 5-minute lag from source system</w:t>
      </w:r>
    </w:p>
    <w:p>
      <w:pPr>
        <w:pStyle w:val="ListParagraph"/>
        <w:numPr>
          <w:ilvl w:val="0"/>
          <w:numId w:val="3"/>
        </w:numPr>
        <w:spacing w:after="80"/>
      </w:pPr>
      <w:r>
        <w:t xml:space="preserve">Access control: role-based access aligned to existing Trust Active Directory groups</w:t>
      </w:r>
    </w:p>
    <w:p>
      <w:pPr>
        <w:pStyle w:val="ListParagraph"/>
        <w:numPr>
          <w:ilvl w:val="0"/>
          <w:numId w:val="3"/>
        </w:numPr>
        <w:spacing w:after="80"/>
      </w:pPr>
      <w:r>
        <w:t xml:space="preserve">Compliance: solution must meet NHS Digital Technology Assessment Criteria (DTAC) baseline</w:t>
      </w:r>
    </w:p>
    <w:p>
      <w:pPr>
        <w:pStyle w:val="Heading1"/>
      </w:pPr>
      <w:r>
        <w:t xml:space="preserve">7. Success Metrics and Benefits Realisation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160"/>
        <w:gridCol w:w="180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Baseline (12-mo avg)</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Measurement frequency</w:t>
            </w:r>
          </w:p>
        </w:tc>
      </w:tr>
      <w:tr>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4-hour breach rate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36.4%</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 21%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Monthly, NHS England submission cycle</w:t>
            </w:r>
          </w:p>
        </w:tc>
      </w:tr>
      <w:tr>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12-hour trolley waits</w:t>
            </w:r>
          </w:p>
        </w:tc>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127/month avg</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 64/month</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Monthly</w:t>
            </w:r>
          </w:p>
        </w:tc>
      </w:tr>
      <w:tr>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Decision-to-admit to bed allocation time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Not currently tracked (baseline TBC)</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&lt; 60 minutes (median)</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Daily, post bed-board go-live</w:t>
            </w:r>
          </w:p>
        </w:tc>
      </w:tr>
      <w:tr>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Staff-reported flow confidence (survey)</w:t>
            </w:r>
          </w:p>
        </w:tc>
        <w:tc>
          <w:tcPr>
            <w:tcW w:type="dxa" w:w="27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Not currently tracked</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+20% vs baseline survey</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Quarterly</w:t>
            </w:r>
          </w:p>
        </w:tc>
      </w:tr>
    </w:tbl>
    <w:p>
      <w:pPr>
        <w:pStyle w:val="Heading1"/>
      </w:pPr>
      <w:r>
        <w:t xml:space="preserve">8. Assumptions, Constraints and Risks</w:t>
      </w:r>
    </w:p>
    <w:p>
      <w:pPr>
        <w:pStyle w:val="Heading2"/>
      </w:pPr>
      <w:r>
        <w:t xml:space="preserve">8.1 Assumptions</w:t>
      </w:r>
    </w:p>
    <w:p>
      <w:pPr>
        <w:pStyle w:val="ListParagraph"/>
        <w:numPr>
          <w:ilvl w:val="0"/>
          <w:numId w:val="3"/>
        </w:numPr>
        <w:spacing w:after="80"/>
      </w:pPr>
      <w:r>
        <w:t xml:space="preserve">Current nursing establishment is sufficient if flow inefficiencies are removed; this assumption should be tested against workforce data before committing to a no-additional-headcount target.</w:t>
      </w:r>
    </w:p>
    <w:p>
      <w:pPr>
        <w:pStyle w:val="ListParagraph"/>
        <w:numPr>
          <w:ilvl w:val="0"/>
          <w:numId w:val="3"/>
        </w:numPr>
        <w:spacing w:after="80"/>
      </w:pPr>
      <w:r>
        <w:t xml:space="preserve">Existing Trust IT infrastructure can support a bed-board tool without major integration rebuild.</w:t>
      </w:r>
    </w:p>
    <w:p>
      <w:pPr>
        <w:pStyle w:val="Heading2"/>
      </w:pPr>
      <w:r>
        <w:t xml:space="preserve">8.2 Constraints</w:t>
      </w:r>
    </w:p>
    <w:p>
      <w:pPr>
        <w:pStyle w:val="ListParagraph"/>
        <w:numPr>
          <w:ilvl w:val="0"/>
          <w:numId w:val="3"/>
        </w:numPr>
        <w:spacing w:after="80"/>
      </w:pPr>
      <w:r>
        <w:t xml:space="preserve">No capital budget allocated for estate expansion in the current financial year.</w:t>
      </w:r>
    </w:p>
    <w:p>
      <w:pPr>
        <w:pStyle w:val="ListParagraph"/>
        <w:numPr>
          <w:ilvl w:val="0"/>
          <w:numId w:val="3"/>
        </w:numPr>
        <w:spacing w:after="80"/>
      </w:pPr>
      <w:r>
        <w:t xml:space="preserve">Programme must operate within existing NHS Digital DTAC and information governance frameworks.</w:t>
      </w:r>
    </w:p>
    <w:p>
      <w:pPr>
        <w:pStyle w:val="Heading2"/>
      </w:pPr>
      <w:r>
        <w:t xml:space="preserve">8.3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Likelihood</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Impact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Winter 2026/27 demand surge outpaces process improvements before they embed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Phase go-live before October 2026; run parallel monitoring</w:t>
            </w:r>
          </w:p>
        </w:tc>
      </w:tr>
      <w:tr>
        <w:tc>
          <w:tcPr>
            <w:tcW w:type="dxa" w:w="36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Clinical staff resistance to new triage workflow</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b w:val="false"/>
                <w:bCs w:val="false"/>
                <w:color w:val="1A1A1A"/>
                <w:sz w:val="20"/>
                <w:szCs w:val="20"/>
              </w:rPr>
              <w:t xml:space="preserve">Early clinical co-design; pilot on single shift pattern first</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Bed-board tool integration delayed by legacy system constraints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color w:val="1A1A1A"/>
                <w:sz w:val="20"/>
                <w:szCs w:val="20"/>
              </w:rPr>
              <w:t xml:space="preserve">Early technical spike in Sprint 0; fallback to manual interim process</w:t>
            </w:r>
          </w:p>
        </w:tc>
      </w:tr>
    </w:tbl>
    <w:p>
      <w:pPr>
        <w:pStyle w:val="Heading1"/>
      </w:pPr>
      <w:r>
        <w:t xml:space="preserve">9. Appendices and Related Documents</w:t>
      </w:r>
    </w:p>
    <w:p>
      <w:pPr>
        <w:pStyle w:val="ListParagraph"/>
        <w:numPr>
          <w:ilvl w:val="0"/>
          <w:numId w:val="3"/>
        </w:numPr>
        <w:spacing w:after="80"/>
      </w:pPr>
      <w:r>
        <w:t xml:space="preserve">Appendix A — Stakeholder Register (Stakeholder_Register.xlsx)</w:t>
      </w:r>
    </w:p>
    <w:p>
      <w:pPr>
        <w:pStyle w:val="ListParagraph"/>
        <w:numPr>
          <w:ilvl w:val="0"/>
          <w:numId w:val="3"/>
        </w:numPr>
        <w:spacing w:after="80"/>
      </w:pPr>
      <w:r>
        <w:t xml:space="preserve">Appendix B — Current-State Process Map (current_state_process_map.svg)</w:t>
      </w:r>
    </w:p>
    <w:p>
      <w:pPr>
        <w:pStyle w:val="ListParagraph"/>
        <w:numPr>
          <w:ilvl w:val="0"/>
          <w:numId w:val="3"/>
        </w:numPr>
        <w:spacing w:after="80"/>
      </w:pPr>
      <w:r>
        <w:t xml:space="preserve">Appendix C — Future-State Process Map (future_state_process_map.svg)</w:t>
      </w:r>
    </w:p>
    <w:p>
      <w:pPr>
        <w:pStyle w:val="ListParagraph"/>
        <w:numPr>
          <w:ilvl w:val="0"/>
          <w:numId w:val="3"/>
        </w:numPr>
        <w:spacing w:after="80"/>
      </w:pPr>
      <w:r>
        <w:t xml:space="preserve">Appendix D — Data Dictionary and Source Notes (data_dictionary.md)</w:t>
      </w:r>
    </w:p>
    <w:p>
      <w:pPr>
        <w:pStyle w:val="ListParagraph"/>
        <w:numPr>
          <w:ilvl w:val="0"/>
          <w:numId w:val="3"/>
        </w:numPr>
        <w:spacing w:after="80"/>
      </w:pPr>
      <w:r>
        <w:t xml:space="preserve">Appendix E — Power BI Dashboard (separate .pbix / published report)</w:t>
      </w:r>
    </w:p>
    <w:p>
      <w:pPr>
        <w:spacing w:before="300"/>
      </w:pPr>
      <w:r>
        <w:rPr>
          <w:b/>
          <w:bCs/>
          <w:sz w:val="20"/>
          <w:szCs w:val="20"/>
        </w:rPr>
        <w:t xml:space="preserve">Sources: </w:t>
      </w:r>
      <w:r>
        <w:rPr>
          <w:i/>
          <w:iCs/>
          <w:color w:val="555555"/>
          <w:sz w:val="18"/>
          <w:szCs w:val="18"/>
        </w:rPr>
        <w:t xml:space="preserve">National breach rate and waiting list figures are drawn from NHS England statistics as reported by the House of Commons Library briefing 'NHS key statistics: England' (accessed June 2026) and the Nuffield Trust QualityWatch NHS Performance Dashboard. Trust-level figures in this case study are illustrative, modelled around national trends for portfolio demonstration purposes — see data_dictionary.md for full methodology.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777777"/>
        <w:sz w:val="16"/>
        <w:szCs w:val="16"/>
      </w:rPr>
      <w:t xml:space="preserve">Thameswood NHS FT — A&amp;E 4-Hour Standard Improvement</w:t>
    </w:r>
    <w:r>
      <w:rPr>
        <w:color w:val="777777"/>
        <w:sz w:val="16"/>
        <w:szCs w:val="16"/>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2026-06-29T09:45:50.171Z</dcterms:created>
  <dcterms:modified xsi:type="dcterms:W3CDTF">2026-06-29T09:45:50.171Z</dcterms:modified>
</cp:coreProperties>
</file>

<file path=docProps/custom.xml><?xml version="1.0" encoding="utf-8"?>
<Properties xmlns="http://schemas.openxmlformats.org/officeDocument/2006/custom-properties" xmlns:vt="http://schemas.openxmlformats.org/officeDocument/2006/docPropsVTypes"/>
</file>