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6679" w:rsidRDefault="00000000">
      <w:r>
        <w:t>Prompt 2:</w:t>
      </w:r>
    </w:p>
    <w:p w14:paraId="00000002" w14:textId="77777777" w:rsidR="003A6679" w:rsidRDefault="003A6679"/>
    <w:p w14:paraId="00000003" w14:textId="77777777" w:rsidR="003A6679" w:rsidRDefault="00000000">
      <w:r>
        <w:t>Name: A2 Organized</w:t>
      </w:r>
    </w:p>
    <w:p w14:paraId="00000004" w14:textId="77777777" w:rsidR="003A6679" w:rsidRDefault="003A6679"/>
    <w:p w14:paraId="00000005" w14:textId="0CE3DBF0" w:rsidR="003A6679" w:rsidRDefault="00475628">
      <w:r w:rsidRPr="004973CC">
        <w:t>I am trying to capture the business functions and their information exchange of an insurance company using a Business Layer</w:t>
      </w:r>
      <w:r>
        <w:t xml:space="preserve"> as per the framework of ArchiMate. I work in the “Product Management” at the “Back Office” and I am located in the “Hamburg Branch Office”. In the following text, I will describe the main business domains of our insurance company “Arche”. The business stakeholder “Customer” can perform the business domains of “Buying an Insurance”, “Claiming Submission” and “Provision of Information”. The main business domains of the insurance company “Arche” are: “Customer Relations”, “Sales”, “Marketing”, “Claims Management”, “Finance”, “Actuarial Science”, “Product Management”, “Knowledge Management” and “Document Processing”. “Marketing” promotes products to the “Customer” by transmitting the business entity product info and informs the “Sales” and </w:t>
      </w:r>
      <w:proofErr w:type="gramStart"/>
      <w:r>
        <w:t>the ”Product</w:t>
      </w:r>
      <w:proofErr w:type="gramEnd"/>
      <w:r>
        <w:t xml:space="preserve"> Management” with the business entity product info regarding the different marketing campaigns. The “Sales” receives the business entity requests from the “Customer” and, upon successful completion, provides the “Customer” with the business entity insurance. The “Sales” also informs the “Finance” about the business entity outstanding premiums. The “Sales” consists of approximately 100 employees. The “Customer Relations” receives the business entity claims and the business entity customer info from the “Customer” and forwards the business entity claims to “Claims Management”. The business entity customer info is forwarded to the “Sales”, while the business entity customer feedback is passed on to the “Product Management”. The “Claims Management” forwards the business entity payment claims to the “Finance” after the completion of a claim. The “Finance” informs the “Claims Management” when the payment of claims has been initiated with the business entity payment of claims. The “Actuarial Science” is one </w:t>
      </w:r>
      <w:proofErr w:type="spellStart"/>
      <w:r>
        <w:t>oft</w:t>
      </w:r>
      <w:proofErr w:type="spellEnd"/>
      <w:r>
        <w:t xml:space="preserve"> the most important business domains, because it analyses the business entity financial risk of the policies and forwards this information to the “Finance”. The “Actuarial Science” also provides the “Marketing” and the “Product Management” with the business entity premium info. The “Product Management” develops new insurance policies and supports the “Marketing” with the business entity product info and the latest information regarding newly developed products. While the “Customer Relations”, “Sales” and “Marketing” are located at the business stakeholder “Front Office”, the “Claims Management”, “Finance”, “Actuarial Science” and “Product Management” are located at the business stakeholder “Back Office”. The “Document Processing” takes place at the business stakeholder “Shared Service Center” and exchanges the business entity documents with all business domains of the “Back Office”. The “Shared Service Center” is currently affected by restructuring measures and is therefore not fully operational. The process “Knowledge Management” takes place at the business stakeholder “Center of Excellence” and provides all business domains of the “Front Office” with the business entity knowledge. </w:t>
      </w:r>
      <w:r w:rsidR="00000000">
        <w:t xml:space="preserve"> </w:t>
      </w:r>
    </w:p>
    <w:sectPr w:rsidR="003A667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CB641A-23D9-49B6-B5B3-A037C95A822F}"/>
  </w:font>
  <w:font w:name="Cambria">
    <w:panose1 w:val="02040503050406030204"/>
    <w:charset w:val="00"/>
    <w:family w:val="roman"/>
    <w:pitch w:val="variable"/>
    <w:sig w:usb0="E00006FF" w:usb1="420024FF" w:usb2="02000000" w:usb3="00000000" w:csb0="0000019F" w:csb1="00000000"/>
    <w:embedRegular r:id="rId2" w:fontKey="{FA94BCD1-1CDF-4D9C-921F-402252F5D94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679"/>
    <w:rsid w:val="003A6679"/>
    <w:rsid w:val="00475628"/>
    <w:rsid w:val="00D86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0013A8-75E1-46E6-AB9A-C4D3060EF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2</cp:revision>
  <dcterms:created xsi:type="dcterms:W3CDTF">2026-08-26T22:29:00Z</dcterms:created>
  <dcterms:modified xsi:type="dcterms:W3CDTF">2026-08-26T22:30:00Z</dcterms:modified>
</cp:coreProperties>
</file>