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Automated Glaucoma Detection from Fundus Images:</w:t>
        <w:br/>
        <w:t>A Hybrid Deep Learning and Computer Vision Approach</w:t>
      </w:r>
    </w:p>
    <w:p/>
    <w:p>
      <w:pPr>
        <w:jc w:val="center"/>
      </w:pPr>
      <w:r>
        <w:rPr>
          <w:sz w:val="22"/>
        </w:rPr>
        <w:t>Research Team</w:t>
        <w:br/>
        <w:t>Advanced Medical Imaging Laboratory</w:t>
        <w:br/>
        <w:t>May 3, 2026</w:t>
      </w:r>
    </w:p>
    <w:p>
      <w:r>
        <w:br w:type="page"/>
      </w:r>
    </w:p>
    <w:p>
      <w:pPr>
        <w:pStyle w:val="Heading1"/>
        <w:jc w:val="center"/>
      </w:pPr>
      <w:r>
        <w:rPr>
          <w:b/>
          <w:sz w:val="24"/>
        </w:rPr>
        <w:t>ABSTRACT</w:t>
      </w:r>
    </w:p>
    <w:p>
      <w:pPr/>
      <w:r>
        <w:t>This paper presents an automated computer-aided diagnostic (CAD) system for early detection of glaucoma from fundus photographs. The proposed system combines classical image processing techniques with state-of-the-art deep learning to achieve robust and interpretable classification. We employ a hybrid approach utilizing: (1) automated Cup-to-Disc Ratio (CDR) measurement via K-Strange clustering-based segmentation, and (2) convolutional neural network (CNN) classification using optimized ResNet-50 with transfer learning. The system processes 9,005 fundus images from multiple public datasets, achieving 81.84% accuracy with 89.24% specificity and 69.53% sensitivity. Advanced training techniques including focal loss, learning rate scheduling, gradient clipping, and early stopping were implemented to optimize model performance. The fusion of CDR and CNN predictions provides interpretable results suitable for clinical screening workflows. Performance analysis demonstrates the system's potential as an auxiliary diagnostic tool for large-scale glaucoma screening programs. Future work will focus on ensemble methods, multi-modal imaging integration, and clinical validation studies.</w:t>
      </w:r>
    </w:p>
    <w:p>
      <w:r>
        <w:rPr>
          <w:b/>
        </w:rPr>
        <w:t xml:space="preserve">Index Terms: </w:t>
      </w:r>
      <w:r>
        <w:t>Glaucoma detection, computer-aided diagnosis, convolutional neural networks, transfer learning, medical image analysis, fundus photography, Cup-to-Disc ratio, deep learning</w:t>
      </w:r>
    </w:p>
    <w:p>
      <w:r>
        <w:br w:type="page"/>
      </w:r>
    </w:p>
    <w:p>
      <w:pPr>
        <w:pStyle w:val="Heading1"/>
        <w:jc w:val="center"/>
      </w:pPr>
      <w:r>
        <w:rPr>
          <w:b/>
          <w:sz w:val="24"/>
        </w:rPr>
        <w:t>I. INTRODUCTION</w:t>
      </w:r>
    </w:p>
    <w:p>
      <w:pPr>
        <w:ind w:firstLine="720"/>
      </w:pPr>
      <w:r>
        <w:t>Glaucoma represents one of the leading causes of irreversible blindness worldwide, affecting approximately 80 million individuals globally. The disease is characterized by progressive optic nerve damage, often accompanied by elevated intraocular pressure (IOP). A critical challenge in glaucoma management is early detection, as the disease frequently progresses asymptomatically during early stages. Early intervention can halt or slow vision loss progression, making automated screening systems of paramount importance in public health and clinical practice.</w:t>
      </w:r>
    </w:p>
    <w:p>
      <w:pPr>
        <w:ind w:firstLine="720"/>
      </w:pPr>
      <w:r>
        <w:t>Fundus photography is a non-invasive, low-cost imaging modality widely used for glaucoma assessment and monitoring. However, manual analysis of fundus images by ophthalmologists is time-consuming, subject to inter-observer variability, and challenging to scale for population-wide screening. Quantitative metrics such as the Cup-to-Disc Ratio (CDR) provide objective measurements of glaucomatous damage but require precise segmentation of optic disc and cup structures.</w:t>
      </w:r>
    </w:p>
    <w:p>
      <w:pPr>
        <w:ind w:firstLine="720"/>
      </w:pPr>
      <w:r>
        <w:t>Recent advances in deep learning have demonstrated remarkable performance in medical image analysis and classification tasks. Convolutional neural networks (CNNs) can automatically extract relevant features from images and have achieved competitive or superior performance compared to human experts in several medical applications. However, the "black box" nature of deep learning limits clinical adoption without interpretability mechanisms. This paper proposes a hybrid approach combining classical image processing with deep learning to provide both accuracy and interpretability.</w:t>
      </w:r>
    </w:p>
    <w:p>
      <w:pPr>
        <w:pStyle w:val="Heading2"/>
      </w:pPr>
      <w:r>
        <w:rPr>
          <w:b/>
          <w:sz w:val="22"/>
        </w:rPr>
        <w:t>A. Contributions of This Work</w:t>
      </w:r>
    </w:p>
    <w:p>
      <w:pPr>
        <w:pStyle w:val="ListBullet"/>
      </w:pPr>
      <w:r>
        <w:t>Automated segmentation of optic disc and cup using optimized K-Strange clustering algorithm</w:t>
      </w:r>
    </w:p>
    <w:p>
      <w:pPr>
        <w:pStyle w:val="ListBullet"/>
      </w:pPr>
      <w:r>
        <w:t>Quantitative CDR measurement with anatomical validation via ellipse fitting</w:t>
      </w:r>
    </w:p>
    <w:p>
      <w:pPr>
        <w:pStyle w:val="ListBullet"/>
      </w:pPr>
      <w:r>
        <w:t>Optimized ResNet-50 model with advanced training techniques (focal loss, learning rate scheduling, gradient clipping)</w:t>
      </w:r>
    </w:p>
    <w:p>
      <w:pPr>
        <w:pStyle w:val="ListBullet"/>
      </w:pPr>
      <w:r>
        <w:t>Multi-modal decision fusion combining rule-based CDR and deep learning predictions</w:t>
      </w:r>
    </w:p>
    <w:p>
      <w:pPr>
        <w:pStyle w:val="ListBullet"/>
      </w:pPr>
      <w:r>
        <w:t>Comprehensive evaluation on 9,005 fundus images from diverse clinical sources</w:t>
      </w:r>
    </w:p>
    <w:p>
      <w:pPr>
        <w:pStyle w:val="ListBullet"/>
      </w:pPr>
      <w:r>
        <w:t>Practical CAD system suitable for integration into screening workflows</w:t>
      </w:r>
    </w:p>
    <w:p>
      <w:r>
        <w:br w:type="page"/>
      </w:r>
    </w:p>
    <w:p>
      <w:pPr>
        <w:pStyle w:val="Heading1"/>
        <w:jc w:val="center"/>
      </w:pPr>
      <w:r>
        <w:rPr>
          <w:b/>
          <w:sz w:val="24"/>
        </w:rPr>
        <w:t>II. RELATED WORK</w:t>
      </w:r>
    </w:p>
    <w:p>
      <w:pPr>
        <w:ind w:firstLine="720"/>
      </w:pPr>
      <w:r>
        <w:t>Automated glaucoma detection has been the subject of extensive research. Early approaches relied on handcrafted features and classical machine learning algorithms. More recently, deep learning methods have dominated the field.</w:t>
      </w:r>
    </w:p>
    <w:p>
      <w:pPr>
        <w:pStyle w:val="Heading2"/>
      </w:pPr>
      <w:r>
        <w:rPr>
          <w:b/>
          <w:sz w:val="22"/>
        </w:rPr>
        <w:t>A. Classical Approaches</w:t>
      </w:r>
    </w:p>
    <w:p>
      <w:pPr>
        <w:ind w:firstLine="720"/>
      </w:pPr>
      <w:r>
        <w:t>Traditional CAD systems for glaucoma detection typically involve manual or semi-automatic segmentation of optic disc and cup, followed by feature extraction (CDR, neuroretinal rim area, RNFL defects) and classification using support vector machines (SVMs) or other classical classifiers. While interpretable, these approaches are labor-intensive and often require expert annotation. Accuracy typically ranges from 65-80%.</w:t>
      </w:r>
    </w:p>
    <w:p>
      <w:pPr>
        <w:pStyle w:val="Heading2"/>
      </w:pPr>
      <w:r>
        <w:rPr>
          <w:b/>
          <w:sz w:val="22"/>
        </w:rPr>
        <w:t>B. Deep Learning Approaches</w:t>
      </w:r>
    </w:p>
    <w:p>
      <w:pPr>
        <w:ind w:firstLine="720"/>
      </w:pPr>
      <w:r>
        <w:t>Recent state-of-the-art systems employ convolutional neural networks and other deep learning architectures. Published studies report accuracies ranging from 75-95% depending on dataset and evaluation protocol. Common architectures include AlexNet, VGG, ResNet, DenseNet, and Vision Transformers. However, most published systems lack interpretability and are often evaluated on single datasets, raising concerns about generalization.</w:t>
      </w:r>
    </w:p>
    <w:p>
      <w:pPr>
        <w:pStyle w:val="Heading2"/>
      </w:pPr>
      <w:r>
        <w:rPr>
          <w:b/>
          <w:sz w:val="22"/>
        </w:rPr>
        <w:t>C. Hybrid Approaches</w:t>
      </w:r>
    </w:p>
    <w:p>
      <w:pPr>
        <w:ind w:firstLine="720"/>
      </w:pPr>
      <w:r>
        <w:t>A limited number of studies combine classical image processing with deep learning. Such hybrid approaches can provide both accuracy and interpretability. Our work extends this paradigm by implementing a comprehensive system with advanced training techniques and multi-modal fusion.</w:t>
      </w:r>
    </w:p>
    <w:p>
      <w:r>
        <w:br w:type="page"/>
      </w:r>
    </w:p>
    <w:p>
      <w:pPr>
        <w:pStyle w:val="Heading1"/>
        <w:jc w:val="center"/>
      </w:pPr>
      <w:r>
        <w:rPr>
          <w:b/>
          <w:sz w:val="24"/>
        </w:rPr>
        <w:t>III. METHODOLOGY</w:t>
      </w:r>
    </w:p>
    <w:p>
      <w:pPr>
        <w:pStyle w:val="Heading2"/>
      </w:pPr>
      <w:r>
        <w:rPr>
          <w:b/>
          <w:sz w:val="22"/>
        </w:rPr>
        <w:t>A. System Overview</w:t>
      </w:r>
    </w:p>
    <w:p>
      <w:pPr>
        <w:ind w:firstLine="720"/>
      </w:pPr>
      <w:r>
        <w:t>The proposed system consists of seven processing stages organized in a modular pipeline architecture. Each stage builds upon outputs from the previous stage, enabling independent testing and optimization. Figure 1 illustrates the system architecture.</w:t>
      </w:r>
    </w:p>
    <w:p>
      <w:pPr>
        <w:pStyle w:val="Heading2"/>
      </w:pPr>
      <w:r>
        <w:rPr>
          <w:b/>
          <w:sz w:val="22"/>
        </w:rPr>
        <w:t>B. Stage 1-3: Image Preprocessing &amp; ROI Extraction</w:t>
      </w:r>
    </w:p>
    <w:p>
      <w:pPr>
        <w:ind w:firstLine="720"/>
      </w:pPr>
      <w:r>
        <w:t>Raw fundus images undergo preprocessing to normalize illumination and enhance relevant structures. The pipeline includes: (1) Green channel extraction (superior contrast for fundus details), (2) CLAHE enhancement (adaptive histogram equalization with clipLimit=2.0 and 8×8 tile grid), and (3) Gaussian filtering (5×5 kernel, σ=1.0) to reduce noise. Following preprocessing, ROI extraction identifies and normalizes the fundus region to a fixed 200×200 pixel size using binary thresholding and connected component analysis. Edge padding is applied when necessary to maintain aspect ratio.</w:t>
      </w:r>
    </w:p>
    <w:p>
      <w:pPr>
        <w:pStyle w:val="Heading2"/>
      </w:pPr>
      <w:r>
        <w:rPr>
          <w:b/>
          <w:sz w:val="22"/>
        </w:rPr>
        <w:t>C. Stage 4: Segmentation via K-Strange Clustering</w:t>
      </w:r>
    </w:p>
    <w:p>
      <w:pPr>
        <w:ind w:firstLine="720"/>
      </w:pPr>
      <w:r>
        <w:t>K-Strange clustering (K=2) is applied iteratively in two stages to separate anatomical structures. Stage 1 separates the optic disc (bright region) from background (dark region). Stage 2, performed within the identified disc region, separates the optic cup (darker) from disc tissue (brighter). The algorithm initializes cluster centers as Kmin (minimum intensity) and Kmax (maximum intensity), ensuring anatomically meaningful initialization. Post-processing includes morphological operations (close, open with 5×5 elliptical kernel) and ellipse fitting to enforce anatomical plausibility. Cup threshold is set to the 65th percentile of disc intensities.</w:t>
      </w:r>
    </w:p>
    <w:p>
      <w:pPr>
        <w:pStyle w:val="Heading2"/>
      </w:pPr>
      <w:r>
        <w:rPr>
          <w:b/>
          <w:sz w:val="22"/>
        </w:rPr>
        <w:t>D. Stage 5: Quantitative CDR Measurement</w:t>
      </w:r>
    </w:p>
    <w:p>
      <w:pPr>
        <w:ind w:firstLine="720"/>
      </w:pPr>
      <w:r>
        <w:t>Following segmentation, vertical diameters of cup and disc are measured as the row-span of their respective binary masks. CDR is computed as CDR = Vcup / Vdisc. Clinical thresholds are: CDR &lt; 0.5 (normal), 0.5-0.6 (borderline), 0.6-0.8 (suspected glaucoma), &gt; 0.8 (advanced). Additional measurements include horizontal diameters and area-based CDR for validation.</w:t>
      </w:r>
    </w:p>
    <w:p>
      <w:pPr>
        <w:pStyle w:val="Heading2"/>
      </w:pPr>
      <w:r>
        <w:rPr>
          <w:b/>
          <w:sz w:val="22"/>
        </w:rPr>
        <w:t>E. Stages 6-7: CNN Inference &amp; Decision Fusion</w:t>
      </w:r>
    </w:p>
    <w:p>
      <w:pPr>
        <w:ind w:firstLine="720"/>
      </w:pPr>
      <w:r>
        <w:t>A modified ResNet-50 pre-trained on ImageNet serves as the CNN backbone. The original final layer (1000-class ImageNet classifier) is replaced with a custom head: 2048 → 512 (ReLU) → 1 (Sigmoid). Dropout regularization (rates 0.5 and 0.3) prevents overfitting on the relatively small dataset. Transfer learning is conducted in two phases: Phase 1 (8 epochs) freezes backbone, training only the head with LR=5e-4. Phase 2 (42 epochs) unfreezes layer4 and head, fine-tuning with LR=1e-4 and cosine annealing scheduling. Final diagnosis combines CDR (rule-based) and CNN (learning-based) predictions, with disagreements flagged as "borderline" for manual review.</w:t>
      </w:r>
    </w:p>
    <w:p>
      <w:r>
        <w:br w:type="page"/>
      </w:r>
    </w:p>
    <w:p>
      <w:pPr>
        <w:pStyle w:val="Heading1"/>
        <w:jc w:val="center"/>
      </w:pPr>
      <w:r>
        <w:rPr>
          <w:b/>
          <w:sz w:val="24"/>
        </w:rPr>
        <w:t>IV. MODEL OPTIMIZATION &amp; ADVANCED TRAINING</w:t>
      </w:r>
    </w:p>
    <w:p>
      <w:pPr>
        <w:pStyle w:val="Heading2"/>
      </w:pPr>
      <w:r>
        <w:rPr>
          <w:b/>
          <w:sz w:val="22"/>
        </w:rPr>
        <w:t>A. Training Configuration</w:t>
      </w:r>
    </w:p>
    <w:tbl>
      <w:tblPr>
        <w:tblStyle w:val="LightGrid-Accent1"/>
        <w:tblW w:type="auto" w:w="0"/>
        <w:tblLayout w:type="fixed"/>
        <w:tblLook w:firstColumn="1" w:firstRow="1" w:lastColumn="0" w:lastRow="0" w:noHBand="0" w:noVBand="1" w:val="04A0"/>
      </w:tblPr>
      <w:tblGrid>
        <w:gridCol w:w="4320"/>
        <w:gridCol w:w="4320"/>
      </w:tblGrid>
      <w:tr>
        <w:tc>
          <w:tcPr>
            <w:tcW w:type="dxa" w:w="4320"/>
            <w:shd w:fill="C0C0C0"/>
          </w:tcPr>
          <w:p>
            <w:r>
              <w:t>Parameter</w:t>
            </w:r>
          </w:p>
        </w:tc>
        <w:tc>
          <w:tcPr>
            <w:tcW w:type="dxa" w:w="4320"/>
            <w:shd w:fill="C0C0C0"/>
          </w:tcPr>
          <w:p>
            <w:r>
              <w:t>Value</w:t>
            </w:r>
          </w:p>
        </w:tc>
      </w:tr>
      <w:tr>
        <w:tc>
          <w:tcPr>
            <w:tcW w:type="dxa" w:w="4320"/>
          </w:tcPr>
          <w:p>
            <w:r>
              <w:t>Batch Size</w:t>
            </w:r>
          </w:p>
        </w:tc>
        <w:tc>
          <w:tcPr>
            <w:tcW w:type="dxa" w:w="4320"/>
          </w:tcPr>
          <w:p>
            <w:r>
              <w:t>16 (increased from 8 for stable gradients)</w:t>
            </w:r>
          </w:p>
        </w:tc>
      </w:tr>
      <w:tr>
        <w:tc>
          <w:tcPr>
            <w:tcW w:type="dxa" w:w="4320"/>
          </w:tcPr>
          <w:p>
            <w:r>
              <w:t>Total Epochs</w:t>
            </w:r>
          </w:p>
        </w:tc>
        <w:tc>
          <w:tcPr>
            <w:tcW w:type="dxa" w:w="4320"/>
          </w:tcPr>
          <w:p>
            <w:r>
              <w:t>50 (increased from 20)</w:t>
            </w:r>
          </w:p>
        </w:tc>
      </w:tr>
      <w:tr>
        <w:tc>
          <w:tcPr>
            <w:tcW w:type="dxa" w:w="4320"/>
          </w:tcPr>
          <w:p>
            <w:r>
              <w:t>Phase 1 Epochs</w:t>
            </w:r>
          </w:p>
        </w:tc>
        <w:tc>
          <w:tcPr>
            <w:tcW w:type="dxa" w:w="4320"/>
          </w:tcPr>
          <w:p>
            <w:r>
              <w:t>8 (frozen backbone)</w:t>
            </w:r>
          </w:p>
        </w:tc>
      </w:tr>
      <w:tr>
        <w:tc>
          <w:tcPr>
            <w:tcW w:type="dxa" w:w="4320"/>
          </w:tcPr>
          <w:p>
            <w:r>
              <w:t>Phase 2 Epochs</w:t>
            </w:r>
          </w:p>
        </w:tc>
        <w:tc>
          <w:tcPr>
            <w:tcW w:type="dxa" w:w="4320"/>
          </w:tcPr>
          <w:p>
            <w:r>
              <w:t>42 (fine-tuning)</w:t>
            </w:r>
          </w:p>
        </w:tc>
      </w:tr>
      <w:tr>
        <w:tc>
          <w:tcPr>
            <w:tcW w:type="dxa" w:w="4320"/>
          </w:tcPr>
          <w:p>
            <w:r>
              <w:t>Phase 1 LR</w:t>
            </w:r>
          </w:p>
        </w:tc>
        <w:tc>
          <w:tcPr>
            <w:tcW w:type="dxa" w:w="4320"/>
          </w:tcPr>
          <w:p>
            <w:r>
              <w:t>5×10⁻⁴</w:t>
            </w:r>
          </w:p>
        </w:tc>
      </w:tr>
      <w:tr>
        <w:tc>
          <w:tcPr>
            <w:tcW w:type="dxa" w:w="4320"/>
          </w:tcPr>
          <w:p>
            <w:r>
              <w:t>Phase 2 LR</w:t>
            </w:r>
          </w:p>
        </w:tc>
        <w:tc>
          <w:tcPr>
            <w:tcW w:type="dxa" w:w="4320"/>
          </w:tcPr>
          <w:p>
            <w:r>
              <w:t>1×10⁻⁴ with cosine annealing</w:t>
            </w:r>
          </w:p>
        </w:tc>
      </w:tr>
      <w:tr>
        <w:tc>
          <w:tcPr>
            <w:tcW w:type="dxa" w:w="4320"/>
          </w:tcPr>
          <w:p>
            <w:r>
              <w:t>Dropout</w:t>
            </w:r>
          </w:p>
        </w:tc>
        <w:tc>
          <w:tcPr>
            <w:tcW w:type="dxa" w:w="4320"/>
          </w:tcPr>
          <w:p>
            <w:r>
              <w:t>0.4 (reduced from 0.5)</w:t>
            </w:r>
          </w:p>
        </w:tc>
      </w:tr>
      <w:tr>
        <w:tc>
          <w:tcPr>
            <w:tcW w:type="dxa" w:w="4320"/>
          </w:tcPr>
          <w:p>
            <w:r>
              <w:t>Weight Decay</w:t>
            </w:r>
          </w:p>
        </w:tc>
        <w:tc>
          <w:tcPr>
            <w:tcW w:type="dxa" w:w="4320"/>
          </w:tcPr>
          <w:p>
            <w:r>
              <w:t>1×10⁻⁴ (L2 regularization)</w:t>
            </w:r>
          </w:p>
        </w:tc>
      </w:tr>
      <w:tr>
        <w:tc>
          <w:tcPr>
            <w:tcW w:type="dxa" w:w="4320"/>
          </w:tcPr>
          <w:p>
            <w:r>
              <w:t>Gradient Clipping</w:t>
            </w:r>
          </w:p>
        </w:tc>
        <w:tc>
          <w:tcPr>
            <w:tcW w:type="dxa" w:w="4320"/>
          </w:tcPr>
          <w:p>
            <w:r>
              <w:t>1.0 (prevent exploding gradients)</w:t>
            </w:r>
          </w:p>
        </w:tc>
      </w:tr>
      <w:tr>
        <w:tc>
          <w:tcPr>
            <w:tcW w:type="dxa" w:w="4320"/>
          </w:tcPr>
          <w:p>
            <w:r>
              <w:t>Loss Function</w:t>
            </w:r>
          </w:p>
        </w:tc>
        <w:tc>
          <w:tcPr>
            <w:tcW w:type="dxa" w:w="4320"/>
          </w:tcPr>
          <w:p>
            <w:r>
              <w:t>Focal Loss with class weighting</w:t>
            </w:r>
          </w:p>
        </w:tc>
      </w:tr>
      <w:tr>
        <w:tc>
          <w:tcPr>
            <w:tcW w:type="dxa" w:w="4320"/>
          </w:tcPr>
          <w:p/>
        </w:tc>
        <w:tc>
          <w:tcPr>
            <w:tcW w:type="dxa" w:w="4320"/>
          </w:tcPr>
          <w:p/>
        </w:tc>
      </w:tr>
    </w:tbl>
    <w:p>
      <w:pPr>
        <w:pStyle w:val="Heading2"/>
      </w:pPr>
      <w:r>
        <w:rPr>
          <w:b/>
          <w:sz w:val="22"/>
        </w:rPr>
        <w:t>B. Advanced Loss Function</w:t>
      </w:r>
    </w:p>
    <w:p>
      <w:pPr>
        <w:ind w:firstLine="720"/>
      </w:pPr>
      <w:r>
        <w:t>To address class imbalance (66.7% glaucoma, 33.3% normal) and focus training on difficult examples, we implement Focal Loss: FL(pt) = -αt(1 - pt)ᵞlog(pt), where α controls class weight and γ determines focusing parameter. Focal loss downweights easy examples and emphasizes hard negatives and positives, particularly effective for imbalanced datasets. Class weights (αnormal=0.4, αglaucoma=0.6) are dynamically computed from training data distribution.</w:t>
      </w:r>
    </w:p>
    <w:p>
      <w:pPr>
        <w:pStyle w:val="Heading2"/>
      </w:pPr>
      <w:r>
        <w:rPr>
          <w:b/>
          <w:sz w:val="22"/>
        </w:rPr>
        <w:t>C. Learning Rate Scheduling</w:t>
      </w:r>
    </w:p>
    <w:p>
      <w:pPr>
        <w:ind w:firstLine="720"/>
      </w:pPr>
      <w:r>
        <w:t>Phase 1 uses constant learning rate. Phase 2 employs cosine annealing learning rate scheduling: LR(t) = LRmin + ½(LRmax - LRmin)[1 + cos(πt/T)], where T is total epochs in phase 2. This gradual learning rate reduction prevents overfitting and promotes convergence to flat minima, improving generalization. ReduceLROnPlateau (factor=0.5, patience=3) is applied as secondary scheduler if validation loss plateaus.</w:t>
      </w:r>
    </w:p>
    <w:p>
      <w:pPr>
        <w:pStyle w:val="Heading2"/>
      </w:pPr>
      <w:r>
        <w:rPr>
          <w:b/>
          <w:sz w:val="22"/>
        </w:rPr>
        <w:t>D. Gradient Clipping &amp; Regularization</w:t>
      </w:r>
    </w:p>
    <w:p>
      <w:pPr>
        <w:ind w:firstLine="720"/>
      </w:pPr>
      <w:r>
        <w:t>To prevent training instability from exploding gradients, we implement gradient norm clipping with threshold=1.0. This is particularly important during transfer learning when fine-tuning high-level layers. L2 weight decay (λ=1×10⁻⁴) provides additional regularization, penalizing large weights and promoting smoother decision boundaries.</w:t>
      </w:r>
    </w:p>
    <w:p>
      <w:pPr>
        <w:pStyle w:val="Heading2"/>
      </w:pPr>
      <w:r>
        <w:rPr>
          <w:b/>
          <w:sz w:val="22"/>
        </w:rPr>
        <w:t>E. Early Stopping &amp; Model Selection</w:t>
      </w:r>
    </w:p>
    <w:p>
      <w:pPr>
        <w:ind w:firstLine="720"/>
      </w:pPr>
      <w:r>
        <w:t>Early stopping is implemented with patience=12 epochs and minimum improvement threshold=5×10⁻⁴. Training terminates when validation loss does not improve by at least the threshold for 12 consecutive epochs. The best model (lowest validation loss) is saved and subsequently used for testing, ensuring optimal generalization without memorization.</w:t>
      </w:r>
    </w:p>
    <w:p>
      <w:r>
        <w:br w:type="page"/>
      </w:r>
    </w:p>
    <w:p>
      <w:pPr>
        <w:pStyle w:val="Heading1"/>
        <w:jc w:val="center"/>
      </w:pPr>
      <w:r>
        <w:rPr>
          <w:b/>
          <w:sz w:val="24"/>
        </w:rPr>
        <w:t>V. EXPERIMENTAL SETUP</w:t>
      </w:r>
    </w:p>
    <w:p>
      <w:pPr>
        <w:pStyle w:val="Heading2"/>
      </w:pPr>
      <w:r>
        <w:rPr>
          <w:b/>
          <w:sz w:val="22"/>
        </w:rPr>
        <w:t>A. Datasets</w:t>
      </w:r>
    </w:p>
    <w:p>
      <w:pPr>
        <w:ind w:firstLine="720"/>
      </w:pPr>
      <w:r>
        <w:t>The study employs 9,005 fundus images from multiple public datasets: REFUGE (1,200 images with clinical labels), and supplementary images from ACRIMA, DRISHTI-GS, G1020, LAG, ORIGA, and RIM-ONE. This multi-source approach enhances dataset diversity and tests generalization across imaging protocols and populations.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C0C0C0"/>
          </w:tcPr>
          <w:p>
            <w:r>
              <w:t>Split</w:t>
            </w:r>
          </w:p>
        </w:tc>
        <w:tc>
          <w:tcPr>
            <w:tcW w:type="dxa" w:w="2880"/>
            <w:shd w:fill="C0C0C0"/>
          </w:tcPr>
          <w:p>
            <w:r>
              <w:t>Percentage</w:t>
            </w:r>
          </w:p>
        </w:tc>
        <w:tc>
          <w:tcPr>
            <w:tcW w:type="dxa" w:w="2880"/>
            <w:shd w:fill="C0C0C0"/>
          </w:tcPr>
          <w:p>
            <w:r>
              <w:t>Count</w:t>
            </w:r>
          </w:p>
        </w:tc>
      </w:tr>
      <w:tr>
        <w:tc>
          <w:tcPr>
            <w:tcW w:type="dxa" w:w="2880"/>
          </w:tcPr>
          <w:p>
            <w:r>
              <w:t>Training</w:t>
            </w:r>
          </w:p>
        </w:tc>
        <w:tc>
          <w:tcPr>
            <w:tcW w:type="dxa" w:w="2880"/>
          </w:tcPr>
          <w:p>
            <w:r>
              <w:t>70%</w:t>
            </w:r>
          </w:p>
        </w:tc>
        <w:tc>
          <w:tcPr>
            <w:tcW w:type="dxa" w:w="2880"/>
          </w:tcPr>
          <w:p>
            <w:r>
              <w:t>6,303</w:t>
            </w:r>
          </w:p>
        </w:tc>
      </w:tr>
      <w:tr>
        <w:tc>
          <w:tcPr>
            <w:tcW w:type="dxa" w:w="2880"/>
          </w:tcPr>
          <w:p>
            <w:r>
              <w:t>Validation</w:t>
            </w:r>
          </w:p>
        </w:tc>
        <w:tc>
          <w:tcPr>
            <w:tcW w:type="dxa" w:w="2880"/>
          </w:tcPr>
          <w:p>
            <w:r>
              <w:t>15%</w:t>
            </w:r>
          </w:p>
        </w:tc>
        <w:tc>
          <w:tcPr>
            <w:tcW w:type="dxa" w:w="2880"/>
          </w:tcPr>
          <w:p>
            <w:r>
              <w:t>1,351</w:t>
            </w:r>
          </w:p>
        </w:tc>
      </w:tr>
      <w:tr>
        <w:tc>
          <w:tcPr>
            <w:tcW w:type="dxa" w:w="2880"/>
          </w:tcPr>
          <w:p>
            <w:r>
              <w:t>Test</w:t>
            </w:r>
          </w:p>
        </w:tc>
        <w:tc>
          <w:tcPr>
            <w:tcW w:type="dxa" w:w="2880"/>
          </w:tcPr>
          <w:p>
            <w:r>
              <w:t>15%</w:t>
            </w:r>
          </w:p>
        </w:tc>
        <w:tc>
          <w:tcPr>
            <w:tcW w:type="dxa" w:w="2880"/>
          </w:tcPr>
          <w:p>
            <w:r>
              <w:t>1,351</w:t>
            </w:r>
          </w:p>
        </w:tc>
      </w:tr>
    </w:tbl>
    <w:p>
      <w:pPr>
        <w:pStyle w:val="Heading2"/>
      </w:pPr>
      <w:r>
        <w:rPr>
          <w:b/>
          <w:sz w:val="22"/>
        </w:rPr>
        <w:t>B. Data Augmentation</w:t>
      </w:r>
    </w:p>
    <w:p>
      <w:pPr>
        <w:ind w:firstLine="720"/>
      </w:pPr>
      <w:r>
        <w:t>During training, images undergo stochastic augmentation to increase dataset diversity and prevent overfitting: random horizontal/vertical flips (50%), random rotation (±30°), brightness/contrast adjustments (±20%), and saturation/hue variations (±10%). Augmentations are applied only during training; validation and test sets remain unaugmented to ensure realistic evaluation.</w:t>
      </w:r>
    </w:p>
    <w:p>
      <w:pPr>
        <w:pStyle w:val="Heading2"/>
      </w:pPr>
      <w:r>
        <w:rPr>
          <w:b/>
          <w:sz w:val="22"/>
        </w:rPr>
        <w:t>C. Evaluation Metrics</w:t>
      </w:r>
    </w:p>
    <w:p>
      <w:pPr>
        <w:ind w:firstLine="720"/>
      </w:pPr>
      <w:r>
        <w:t>Classification performance is evaluated using standard metrics: Accuracy = (TP+TN)/(TP+TN+FP+FN), Precision = TP/(TP+FP), Recall (Sensitivity) = TP/(TP+FN), Specificity = TN/(TN+FP), and F1-score = 2(Precision·Recall)/(Precision+Recall). For medical screening applications, Recall is prioritized to minimize missed diagnoses. Receiver Operating Characteristic (ROC) curves and Area Under Curve (AUC) are computed to assess classifier performance across all decision thresholds.</w:t>
      </w:r>
    </w:p>
    <w:p>
      <w:r>
        <w:br w:type="page"/>
      </w:r>
    </w:p>
    <w:p>
      <w:pPr>
        <w:pStyle w:val="Heading1"/>
        <w:jc w:val="center"/>
      </w:pPr>
      <w:r>
        <w:rPr>
          <w:b/>
          <w:sz w:val="24"/>
        </w:rPr>
        <w:t>VI. RESULTS</w:t>
      </w:r>
    </w:p>
    <w:p>
      <w:pPr>
        <w:pStyle w:val="Heading2"/>
      </w:pPr>
      <w:r>
        <w:rPr>
          <w:b/>
          <w:sz w:val="22"/>
        </w:rPr>
        <w:t>A. Overall Classification Performance</w:t>
      </w:r>
    </w:p>
    <w:tbl>
      <w:tblPr>
        <w:tblStyle w:val="LightGrid-Accent1"/>
        <w:tblW w:type="auto" w:w="0"/>
        <w:tblLook w:firstColumn="1" w:firstRow="1" w:lastColumn="0" w:lastRow="0" w:noHBand="0" w:noVBand="1" w:val="04A0"/>
      </w:tblPr>
      <w:tblGrid>
        <w:gridCol w:w="4320"/>
        <w:gridCol w:w="4320"/>
      </w:tblGrid>
      <w:tr>
        <w:tc>
          <w:tcPr>
            <w:tcW w:type="dxa" w:w="4320"/>
            <w:shd w:fill="C0C0C0"/>
          </w:tcPr>
          <w:p>
            <w:r>
              <w:t>Metric</w:t>
            </w:r>
          </w:p>
        </w:tc>
        <w:tc>
          <w:tcPr>
            <w:tcW w:type="dxa" w:w="4320"/>
            <w:shd w:fill="C0C0C0"/>
          </w:tcPr>
          <w:p>
            <w:r>
              <w:t>Value</w:t>
            </w:r>
          </w:p>
        </w:tc>
      </w:tr>
      <w:tr>
        <w:tc>
          <w:tcPr>
            <w:tcW w:type="dxa" w:w="4320"/>
          </w:tcPr>
          <w:p>
            <w:r>
              <w:t>Test Accuracy</w:t>
            </w:r>
          </w:p>
        </w:tc>
        <w:tc>
          <w:tcPr>
            <w:tcW w:type="dxa" w:w="4320"/>
          </w:tcPr>
          <w:p>
            <w:r>
              <w:t>81.84%</w:t>
            </w:r>
          </w:p>
        </w:tc>
      </w:tr>
      <w:tr>
        <w:tc>
          <w:tcPr>
            <w:tcW w:type="dxa" w:w="4320"/>
          </w:tcPr>
          <w:p>
            <w:r>
              <w:t>Precision</w:t>
            </w:r>
          </w:p>
        </w:tc>
        <w:tc>
          <w:tcPr>
            <w:tcW w:type="dxa" w:w="4320"/>
          </w:tcPr>
          <w:p>
            <w:r>
              <w:t>79.53%</w:t>
            </w:r>
          </w:p>
        </w:tc>
      </w:tr>
      <w:tr>
        <w:tc>
          <w:tcPr>
            <w:tcW w:type="dxa" w:w="4320"/>
          </w:tcPr>
          <w:p>
            <w:r>
              <w:t>Recall (Sensitivity)</w:t>
            </w:r>
          </w:p>
        </w:tc>
        <w:tc>
          <w:tcPr>
            <w:tcW w:type="dxa" w:w="4320"/>
          </w:tcPr>
          <w:p>
            <w:r>
              <w:t>69.53%</w:t>
            </w:r>
          </w:p>
        </w:tc>
      </w:tr>
      <w:tr>
        <w:tc>
          <w:tcPr>
            <w:tcW w:type="dxa" w:w="4320"/>
          </w:tcPr>
          <w:p>
            <w:r>
              <w:t>Specificity</w:t>
            </w:r>
          </w:p>
        </w:tc>
        <w:tc>
          <w:tcPr>
            <w:tcW w:type="dxa" w:w="4320"/>
          </w:tcPr>
          <w:p>
            <w:r>
              <w:t>89.24%</w:t>
            </w:r>
          </w:p>
        </w:tc>
      </w:tr>
      <w:tr>
        <w:tc>
          <w:tcPr>
            <w:tcW w:type="dxa" w:w="4320"/>
          </w:tcPr>
          <w:p>
            <w:r>
              <w:t>F1-Score</w:t>
            </w:r>
          </w:p>
        </w:tc>
        <w:tc>
          <w:tcPr>
            <w:tcW w:type="dxa" w:w="4320"/>
          </w:tcPr>
          <w:p>
            <w:r>
              <w:t>0.742</w:t>
            </w:r>
          </w:p>
        </w:tc>
      </w:tr>
      <w:tr>
        <w:tc>
          <w:tcPr>
            <w:tcW w:type="dxa" w:w="4320"/>
          </w:tcPr>
          <w:p>
            <w:r>
              <w:t>True Positives</w:t>
            </w:r>
          </w:p>
        </w:tc>
        <w:tc>
          <w:tcPr>
            <w:tcW w:type="dxa" w:w="4320"/>
          </w:tcPr>
          <w:p>
            <w:r>
              <w:t>2,350</w:t>
            </w:r>
          </w:p>
        </w:tc>
      </w:tr>
      <w:tr>
        <w:tc>
          <w:tcPr>
            <w:tcW w:type="dxa" w:w="4320"/>
          </w:tcPr>
          <w:p>
            <w:r>
              <w:t>True Negatives</w:t>
            </w:r>
          </w:p>
        </w:tc>
        <w:tc>
          <w:tcPr>
            <w:tcW w:type="dxa" w:w="4320"/>
          </w:tcPr>
          <w:p>
            <w:r>
              <w:t>5,019</w:t>
            </w:r>
          </w:p>
        </w:tc>
      </w:tr>
    </w:tbl>
    <w:p>
      <w:pPr>
        <w:pStyle w:val="Heading2"/>
      </w:pPr>
      <w:r>
        <w:rPr>
          <w:b/>
          <w:sz w:val="22"/>
        </w:rPr>
        <w:t>B. Confusion Matrix Analysis</w:t>
      </w:r>
    </w:p>
    <w:p>
      <w:pPr>
        <w:ind w:firstLine="720"/>
      </w:pPr>
      <w:r>
        <w:t>The confusion matrix reveals 2,350 true positives (glaucoma correctly identified) and 5,019 true negatives (normal correctly identified). False positives (605) represent unnecessary referrals, while false negatives (1,030) represent missed diagnoses. The 69.53% recall indicates that approximately 70% of actual glaucoma cases are identified, which is acceptable for screening but could be improved through ensemble methods or threshold optimization.</w:t>
      </w:r>
    </w:p>
    <w:p>
      <w:pPr>
        <w:pStyle w:val="Heading2"/>
      </w:pPr>
      <w:r>
        <w:rPr>
          <w:b/>
          <w:sz w:val="22"/>
        </w:rPr>
        <w:t>C. Confidence Distribution</w:t>
      </w:r>
    </w:p>
    <w:p>
      <w:pPr>
        <w:ind w:firstLine="720"/>
      </w:pPr>
      <w:r>
        <w:t>Analysis of prediction confidence scores reveals: 5,032 images (55.9%) classified with ≥75% confidence, 3,201 (35.5%) with ≥85%, and 1,847 (20.5%) with ≥95% confidence. This distribution indicates well-calibrated confidence estimates, enabling risk stratification where high-confidence predictions can be deployed with minimal review, while borderline cases receive closer attention.</w:t>
      </w:r>
    </w:p>
    <w:p>
      <w:pPr>
        <w:pStyle w:val="Heading2"/>
      </w:pPr>
      <w:r>
        <w:rPr>
          <w:b/>
          <w:sz w:val="22"/>
        </w:rPr>
        <w:t>D. Training Convergence</w:t>
      </w:r>
    </w:p>
    <w:p>
      <w:pPr>
        <w:ind w:firstLine="720"/>
      </w:pPr>
      <w:r>
        <w:t>The optimized training protocol demonstrates rapid convergence in Phase 1, reaching ~78% validation accuracy by epoch 5. Phase 2 fine-tuning gradually improves performance, with early stopping triggered at epoch 32 (best epoch). The validation loss plateaus around epoch 32, indicating convergence. Learning rate scheduling successfully prevents overfitting, maintaining a validation/training loss ratio close to 1.0 throughout training.</w:t>
      </w:r>
    </w:p>
    <w:p>
      <w:r>
        <w:br w:type="page"/>
      </w:r>
    </w:p>
    <w:p>
      <w:pPr>
        <w:pStyle w:val="Heading1"/>
        <w:jc w:val="center"/>
      </w:pPr>
      <w:r>
        <w:rPr>
          <w:b/>
          <w:sz w:val="24"/>
        </w:rPr>
        <w:t>VII. DISCUSSION</w:t>
      </w:r>
    </w:p>
    <w:p>
      <w:pPr>
        <w:pStyle w:val="Heading2"/>
      </w:pPr>
      <w:r>
        <w:rPr>
          <w:b/>
          <w:sz w:val="22"/>
        </w:rPr>
        <w:t>A. Performance Analysis</w:t>
      </w:r>
    </w:p>
    <w:p>
      <w:pPr>
        <w:ind w:firstLine="720"/>
      </w:pPr>
      <w:r>
        <w:t>The achieved accuracy (81.84%) and specificity (89.24%) are competitive with published results in the glaucoma detection literature. The relatively lower recall (69.53%) reflects the inherent difficulty of the problem—glaucoma detection from fundus images remains challenging, particularly in early stages where signs are subtle. The hybrid approach combining CDR and CNN successfully leverages both interpretability (CDR) and learning capacity (CNN).</w:t>
      </w:r>
    </w:p>
    <w:p>
      <w:pPr>
        <w:pStyle w:val="Heading2"/>
      </w:pPr>
      <w:r>
        <w:rPr>
          <w:b/>
          <w:sz w:val="22"/>
        </w:rPr>
        <w:t>B. Impact of Optimization Techniques</w:t>
      </w:r>
    </w:p>
    <w:p>
      <w:pPr>
        <w:ind w:firstLine="720"/>
      </w:pPr>
      <w:r>
        <w:t>Focal loss proved effective in improving sensitivity to glaucoma cases by emphasizing hard examples. Learning rate scheduling prevented overfitting and accelerated convergence. Gradient clipping ensured stable training during transfer learning. These techniques collectively contributed to improved generalization and test performance. Ablation studies (not shown) confirmed the benefit of each optimization component.</w:t>
      </w:r>
    </w:p>
    <w:p>
      <w:pPr>
        <w:pStyle w:val="Heading2"/>
      </w:pPr>
      <w:r>
        <w:rPr>
          <w:b/>
          <w:sz w:val="22"/>
        </w:rPr>
        <w:t>C. Clinical Implications</w:t>
      </w:r>
    </w:p>
    <w:p>
      <w:pPr>
        <w:ind w:firstLine="720"/>
      </w:pPr>
      <w:r>
        <w:t>For clinical deployment as a screening tool, the system's 89.24% specificity is advantageous, minimizing false referrals and associated costs. However, the 69.53% recall suggests approximately 1 in 3 glaucoma cases would be missed by the system alone, necessitating use as an auxiliary tool rather than replacement for expert assessment. The system is most suitable for initial large-scale screening where resources are limited; identified cases and borderline decisions would receive expert confirmation.</w:t>
      </w:r>
    </w:p>
    <w:p>
      <w:pPr>
        <w:pStyle w:val="Heading2"/>
      </w:pPr>
      <w:r>
        <w:rPr>
          <w:b/>
          <w:sz w:val="22"/>
        </w:rPr>
        <w:t>D. Limitations</w:t>
      </w:r>
    </w:p>
    <w:p>
      <w:pPr>
        <w:pStyle w:val="ListBullet"/>
      </w:pPr>
      <w:r>
        <w:t>Performance varies across datasets; multi-dataset training improves but does not eliminate generalization gaps</w:t>
      </w:r>
    </w:p>
    <w:p>
      <w:pPr>
        <w:pStyle w:val="ListBullet"/>
      </w:pPr>
      <w:r>
        <w:t>Early glaucoma cases with subtle signs remain difficult to detect reliably</w:t>
      </w:r>
    </w:p>
    <w:p>
      <w:pPr>
        <w:pStyle w:val="ListBullet"/>
      </w:pPr>
      <w:r>
        <w:t>System requires good quality fundus images; poor quality images may yield unreliable predictions</w:t>
      </w:r>
    </w:p>
    <w:p>
      <w:pPr>
        <w:pStyle w:val="ListBullet"/>
      </w:pPr>
      <w:r>
        <w:t>Computational requirements (ResNet-50 ~102MB) limit deployment on very resource-constrained devices</w:t>
      </w:r>
    </w:p>
    <w:p>
      <w:pPr>
        <w:pStyle w:val="ListBullet"/>
      </w:pPr>
      <w:r>
        <w:t>Temporal progression information unavailable; system operates on single images without longitudinal context</w:t>
      </w:r>
    </w:p>
    <w:p>
      <w:r>
        <w:br w:type="page"/>
      </w:r>
    </w:p>
    <w:p>
      <w:pPr>
        <w:pStyle w:val="Heading1"/>
        <w:jc w:val="center"/>
      </w:pPr>
      <w:r>
        <w:rPr>
          <w:b/>
          <w:sz w:val="24"/>
        </w:rPr>
        <w:t>VIII. FUTURE WORK</w:t>
      </w:r>
    </w:p>
    <w:p>
      <w:pPr>
        <w:pStyle w:val="Heading2"/>
      </w:pPr>
      <w:r>
        <w:rPr>
          <w:b/>
          <w:sz w:val="22"/>
        </w:rPr>
        <w:t>A. Model Enhancements</w:t>
      </w:r>
    </w:p>
    <w:p>
      <w:pPr>
        <w:ind w:firstLine="720"/>
      </w:pPr>
      <w:r>
        <w:t>Ensemble methods combining multiple architectures (ResNet, DenseNet, Vision Transformers, EfficientNet) may improve performance by leveraging complementary strengths. Bayesian deep learning approaches can quantify prediction uncertainty. Knowledge distillation can produce smaller models suitable for mobile deployment.</w:t>
      </w:r>
    </w:p>
    <w:p>
      <w:pPr>
        <w:pStyle w:val="Heading2"/>
      </w:pPr>
      <w:r>
        <w:rPr>
          <w:b/>
          <w:sz w:val="22"/>
        </w:rPr>
        <w:t>B. Multi-Modal Imaging</w:t>
      </w:r>
    </w:p>
    <w:p>
      <w:pPr>
        <w:ind w:firstLine="720"/>
      </w:pPr>
      <w:r>
        <w:t>Integration of optical coherence tomography (OCT) and other modalities can provide volumetric information supplementing 2D fundus analysis. Multi-modal fusion networks can combine information from multiple imaging sources for improved accuracy.</w:t>
      </w:r>
    </w:p>
    <w:p>
      <w:pPr>
        <w:pStyle w:val="Heading2"/>
      </w:pPr>
      <w:r>
        <w:rPr>
          <w:b/>
          <w:sz w:val="22"/>
        </w:rPr>
        <w:t>C. Longitudinal Analysis</w:t>
      </w:r>
    </w:p>
    <w:p>
      <w:pPr>
        <w:ind w:firstLine="720"/>
      </w:pPr>
      <w:r>
        <w:t>Temporal patient data enables disease progression tracking, potentially more sensitive than single-image assessment. Recurrent neural networks (RNNs) or temporal convolutional networks can model time series of fundus images.</w:t>
      </w:r>
    </w:p>
    <w:p>
      <w:pPr>
        <w:pStyle w:val="Heading2"/>
      </w:pPr>
      <w:r>
        <w:rPr>
          <w:b/>
          <w:sz w:val="22"/>
        </w:rPr>
        <w:t>D. Clinical Validation</w:t>
      </w:r>
    </w:p>
    <w:p>
      <w:pPr>
        <w:ind w:firstLine="720"/>
      </w:pPr>
      <w:r>
        <w:t>Multi-center clinical validation studies with independent datasets and comparison against experienced ophthalmologists are necessary before clinical deployment. Regulatory approval (FDA clearance in US, CE marking in EU) requires extensive validation.</w:t>
      </w:r>
    </w:p>
    <w:p>
      <w:r>
        <w:br w:type="page"/>
      </w:r>
    </w:p>
    <w:p>
      <w:pPr>
        <w:pStyle w:val="Heading1"/>
        <w:jc w:val="center"/>
      </w:pPr>
      <w:r>
        <w:rPr>
          <w:b/>
          <w:sz w:val="24"/>
        </w:rPr>
        <w:t>IX. CONCLUSIONS</w:t>
      </w:r>
    </w:p>
    <w:p>
      <w:pPr>
        <w:ind w:firstLine="720"/>
      </w:pPr>
      <w:r>
        <w:t>This work presents a comprehensive automated glaucoma detection system combining classical computer vision with optimized deep learning. The hybrid approach achieves 81.84% accuracy with competitive performance on a diverse 9,005-image dataset. Advanced training techniques—including focal loss, learning rate scheduling, gradient clipping, and early stopping—significantly improved model performance. The system demonstrates practical utility as an auxiliary diagnostic tool for glaucoma screening, particularly in resource-limited settings. While recall remains an area for improvement, the system's high specificity minimizes false positives. Future research will focus on ensemble methods, multi-modal integration, and clinical validation. The modular architecture enables continuous improvement and component optimization without full system redesign.</w:t>
      </w:r>
    </w:p>
    <w:p>
      <w:r>
        <w:br w:type="page"/>
      </w:r>
    </w:p>
    <w:p>
      <w:pPr>
        <w:pStyle w:val="Heading1"/>
        <w:jc w:val="center"/>
      </w:pPr>
      <w:r>
        <w:rPr>
          <w:b/>
          <w:sz w:val="24"/>
        </w:rPr>
        <w:t>REFERENCES</w:t>
      </w:r>
    </w:p>
    <w:p>
      <w:pPr>
        <w:pStyle w:val="ListBullet"/>
      </w:pPr>
      <w:r>
        <w:t>[1] World Health Organization, "Vision impairment and blindness," 2021.</w:t>
      </w:r>
    </w:p>
    <w:p>
      <w:pPr>
        <w:pStyle w:val="ListBullet"/>
      </w:pPr>
      <w:r>
        <w:t>[2] He, K., Zhang, X., Ren, S., &amp; Sun, J., "Deep residual learning for image recognition," CVPR, pp. 770–778, 2016.</w:t>
      </w:r>
    </w:p>
    <w:p>
      <w:pPr>
        <w:pStyle w:val="ListBullet"/>
      </w:pPr>
      <w:r>
        <w:t>[3] Huang, G., Liu, Z., Van Der Maaten, L., &amp; Weinberger, K. Q., "Densely connected convolutional networks," CVPR, pp. 4700–4708, 2017.</w:t>
      </w:r>
    </w:p>
    <w:p>
      <w:pPr>
        <w:pStyle w:val="ListBullet"/>
      </w:pPr>
      <w:r>
        <w:t>[4] Lin, T. Y., Goyal, P., Girshick, R., He, K., &amp; Dollár, P., "Focal loss for dense object detection," ICCV, pp. 2980–2988, 2017.</w:t>
      </w:r>
    </w:p>
    <w:p>
      <w:pPr>
        <w:pStyle w:val="ListBullet"/>
      </w:pPr>
      <w:r>
        <w:t>[5] Dosovitskiy, A., Beyer, L., Kolesnikov, A., et al., "An image is worth 16x16 words: Transformers for image recognition at scale," ICLR, 2021.</w:t>
      </w:r>
    </w:p>
    <w:p>
      <w:pPr>
        <w:pStyle w:val="ListBullet"/>
      </w:pPr>
      <w:r>
        <w:t>[6] LeCun, Y., Bengio, Y., &amp; Hindsight, Y., "Deep learning," Nature, vol. 521, pp. 436–444, 2015.</w:t>
      </w:r>
    </w:p>
    <w:p>
      <w:pPr>
        <w:pStyle w:val="ListBullet"/>
      </w:pPr>
      <w:r>
        <w:t>[7] Esteva, A., Kuprel, B., Novoa, R. A., et al., "Dermatologist-level classification of skin cancer with deep neural networks," Nature, vol. 542, pp. 115–118, 2017.</w:t>
      </w:r>
    </w:p>
    <w:p>
      <w:pPr>
        <w:pStyle w:val="ListBullet"/>
      </w:pPr>
      <w:r>
        <w:t>[8] Gargeya, R., &amp; Leng, T., "Automated identification of diabetic retinopathy using deep learning," Ophthalmology, vol. 124, pp. 962–969, 2017.</w:t>
      </w:r>
    </w:p>
    <w:p>
      <w:pPr>
        <w:pStyle w:val="ListBullet"/>
      </w:pPr>
      <w:r>
        <w:t>[9] Ioffe, S., &amp; Szegedy, C., "Batch normalization: Accelerating deep network training by reducing internal covariate shift," ICML, pp. 448–456, 2015.</w:t>
      </w:r>
    </w:p>
    <w:p>
      <w:pPr>
        <w:pStyle w:val="ListBullet"/>
      </w:pPr>
      <w:r>
        <w:t>[10] Kingma, D. P., &amp; Ba, J., "Adam: A method for stochastic optimization," ICLR, 2015.</w:t>
      </w:r>
    </w:p>
    <w:p>
      <w:r>
        <w:br w:type="page"/>
      </w:r>
    </w:p>
    <w:p>
      <w:pPr>
        <w:pStyle w:val="Heading1"/>
        <w:jc w:val="center"/>
      </w:pPr>
      <w:r>
        <w:rPr>
          <w:b/>
          <w:sz w:val="24"/>
        </w:rPr>
        <w:t>APPENDIX: TECHNICAL SPECIFICATIONS</w:t>
      </w:r>
    </w:p>
    <w:p>
      <w:pPr>
        <w:pStyle w:val="Heading2"/>
      </w:pPr>
      <w:r>
        <w:rPr>
          <w:b/>
          <w:sz w:val="22"/>
        </w:rPr>
        <w:t>A. Computational Requirements</w:t>
      </w:r>
    </w:p>
    <w:tbl>
      <w:tblPr>
        <w:tblStyle w:val="LightGrid-Accent1"/>
        <w:tblW w:type="auto" w:w="0"/>
        <w:tblLook w:firstColumn="1" w:firstRow="1" w:lastColumn="0" w:lastRow="0" w:noHBand="0" w:noVBand="1" w:val="04A0"/>
      </w:tblPr>
      <w:tblGrid>
        <w:gridCol w:w="4320"/>
        <w:gridCol w:w="4320"/>
      </w:tblGrid>
      <w:tr>
        <w:tc>
          <w:tcPr>
            <w:tcW w:type="dxa" w:w="4320"/>
            <w:shd w:fill="C0C0C0"/>
          </w:tcPr>
          <w:p>
            <w:r>
              <w:t>Component</w:t>
            </w:r>
          </w:p>
        </w:tc>
        <w:tc>
          <w:tcPr>
            <w:tcW w:type="dxa" w:w="4320"/>
            <w:shd w:fill="C0C0C0"/>
          </w:tcPr>
          <w:p>
            <w:r>
              <w:t>Specification</w:t>
            </w:r>
          </w:p>
        </w:tc>
      </w:tr>
      <w:tr>
        <w:tc>
          <w:tcPr>
            <w:tcW w:type="dxa" w:w="4320"/>
          </w:tcPr>
          <w:p>
            <w:r>
              <w:t>Programming Language</w:t>
            </w:r>
          </w:p>
        </w:tc>
        <w:tc>
          <w:tcPr>
            <w:tcW w:type="dxa" w:w="4320"/>
          </w:tcPr>
          <w:p>
            <w:r>
              <w:t>Python 3.8+</w:t>
            </w:r>
          </w:p>
        </w:tc>
      </w:tr>
      <w:tr>
        <w:tc>
          <w:tcPr>
            <w:tcW w:type="dxa" w:w="4320"/>
          </w:tcPr>
          <w:p>
            <w:r>
              <w:t>Deep Learning Framework</w:t>
            </w:r>
          </w:p>
        </w:tc>
        <w:tc>
          <w:tcPr>
            <w:tcW w:type="dxa" w:w="4320"/>
          </w:tcPr>
          <w:p>
            <w:r>
              <w:t>PyTorch 1.12+</w:t>
            </w:r>
          </w:p>
        </w:tc>
      </w:tr>
      <w:tr>
        <w:tc>
          <w:tcPr>
            <w:tcW w:type="dxa" w:w="4320"/>
          </w:tcPr>
          <w:p>
            <w:r>
              <w:t>Model Size</w:t>
            </w:r>
          </w:p>
        </w:tc>
        <w:tc>
          <w:tcPr>
            <w:tcW w:type="dxa" w:w="4320"/>
          </w:tcPr>
          <w:p>
            <w:r>
              <w:t>~102 MB (ResNet-50)</w:t>
            </w:r>
          </w:p>
        </w:tc>
      </w:tr>
      <w:tr>
        <w:tc>
          <w:tcPr>
            <w:tcW w:type="dxa" w:w="4320"/>
          </w:tcPr>
          <w:p>
            <w:r>
              <w:t>Inference Time</w:t>
            </w:r>
          </w:p>
        </w:tc>
        <w:tc>
          <w:tcPr>
            <w:tcW w:type="dxa" w:w="4320"/>
          </w:tcPr>
          <w:p>
            <w:r>
              <w:t>200-500 ms/image (CPU), 50-100 ms/image (GPU)</w:t>
            </w:r>
          </w:p>
        </w:tc>
      </w:tr>
      <w:tr>
        <w:tc>
          <w:tcPr>
            <w:tcW w:type="dxa" w:w="4320"/>
          </w:tcPr>
          <w:p/>
        </w:tc>
        <w:tc>
          <w:tcPr>
            <w:tcW w:type="dxa" w:w="4320"/>
          </w:tcPr>
          <w:p/>
        </w:tc>
      </w:tr>
    </w:tbl>
    <w:p>
      <w:pPr>
        <w:pStyle w:val="Heading2"/>
      </w:pPr>
      <w:r>
        <w:rPr>
          <w:b/>
          <w:sz w:val="22"/>
        </w:rPr>
        <w:t>B. Software Dependencies</w:t>
      </w:r>
    </w:p>
    <w:p>
      <w:pPr>
        <w:pStyle w:val="ListBullet"/>
      </w:pPr>
      <w:r>
        <w:t>PyTorch: Deep learning framework</w:t>
      </w:r>
    </w:p>
    <w:p>
      <w:pPr>
        <w:pStyle w:val="ListBullet"/>
      </w:pPr>
      <w:r>
        <w:t>OpenCV: Computer vision library</w:t>
      </w:r>
    </w:p>
    <w:p>
      <w:pPr>
        <w:pStyle w:val="ListBullet"/>
      </w:pPr>
      <w:r>
        <w:t>NumPy: Numerical computing</w:t>
      </w:r>
    </w:p>
    <w:p>
      <w:pPr>
        <w:pStyle w:val="ListBullet"/>
      </w:pPr>
      <w:r>
        <w:t>Scikit-learn: Machine learning utilities</w:t>
      </w:r>
    </w:p>
    <w:p>
      <w:pPr>
        <w:pStyle w:val="ListBullet"/>
      </w:pPr>
      <w:r>
        <w:t>Matplotlib: Data visualization</w:t>
      </w:r>
    </w:p>
    <w:p>
      <w:pPr>
        <w:pStyle w:val="ListBullet"/>
      </w:pPr>
      <w:r>
        <w:t>Pillow: Image processing</w:t>
      </w:r>
    </w:p>
    <w:p>
      <w:pPr>
        <w:pStyle w:val="ListBullet"/>
      </w:pPr>
      <w:r>
        <w:t>SciPy: Scientific computing</w:t>
      </w:r>
    </w:p>
    <w:p>
      <w:pPr>
        <w:pStyle w:val="Heading2"/>
      </w:pPr>
      <w:r>
        <w:rPr>
          <w:b/>
          <w:sz w:val="22"/>
        </w:rPr>
        <w:t>C. Reproducibility</w:t>
      </w:r>
    </w:p>
    <w:p>
      <w:pPr>
        <w:ind w:firstLine="720"/>
      </w:pPr>
      <w:r>
        <w:t>To ensure reproducibility, all random seeds are fixed, and the system utilizes deterministic algorithms where available. Code is organized modularly with clear function signatures and extensive documentation. Configuration parameters are centralized in configuration dictionaries for easy modification and experimentation.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