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— Data Architecture Document</w:t>
      </w:r>
    </w:p>
    <w:p>
      <w:pPr>
        <w:jc w:val="center"/>
      </w:pPr>
      <w:r>
        <w:t>SQL Data Warehouse Project | MySQL 8.4</w:t>
      </w:r>
    </w:p>
    <w:p>
      <w:pPr>
        <w:pStyle w:val="Heading1"/>
      </w:pPr>
      <w:r>
        <w:t>1. Purpose</w:t>
      </w:r>
    </w:p>
    <w:p>
      <w:r>
        <w:t>This document describes the logical architecture of the SQL Data Warehouse, its layers, data flow, components, relationships, and major design decisions.</w:t>
      </w:r>
    </w:p>
    <w:p>
      <w:pPr>
        <w:pStyle w:val="Heading1"/>
      </w:pPr>
      <w:r>
        <w:t>2. High-Level Architecture</w:t>
      </w:r>
    </w:p>
    <w:p>
      <w:r>
        <w:t>Source CSV files → Bronze raw ingestion → Silver cleansing and standardization → Gold business-ready dimensional views → SQL analysis.</w:t>
      </w:r>
    </w:p>
    <w:p>
      <w:r>
        <w:t>Architecture:</w:t>
      </w:r>
    </w:p>
    <w:p>
      <w:r>
        <w:t>SOURCE SYSTEMS</w:t>
        <w:br/>
        <w:t xml:space="preserve">  CRM: Customer | Product | Sales</w:t>
        <w:br/>
        <w:t xml:space="preserve">  ERP: Customer demographics | Location | Product category</w:t>
        <w:br/>
        <w:t xml:space="preserve">          ↓</w:t>
        <w:br/>
        <w:t>BRONZE LAYER</w:t>
        <w:br/>
        <w:t xml:space="preserve">  bronze_crm_cust_info</w:t>
        <w:br/>
        <w:t xml:space="preserve">  bronze_crm_prd_info</w:t>
        <w:br/>
        <w:t xml:space="preserve">  bronze_crm_sales_details</w:t>
        <w:br/>
        <w:t xml:space="preserve">  bronze_erp_cust_az12</w:t>
        <w:br/>
        <w:t xml:space="preserve">  bronze_erp_loc_a101</w:t>
        <w:br/>
        <w:t xml:space="preserve">  bronze_erp_px_cat_g1v2</w:t>
        <w:br/>
        <w:t xml:space="preserve">          ↓</w:t>
        <w:br/>
        <w:t>SILVER LAYER</w:t>
        <w:br/>
        <w:t xml:space="preserve">  Cleaned, standardized, deduplicated, enriched data</w:t>
        <w:br/>
        <w:t xml:space="preserve">          ↓</w:t>
        <w:br/>
        <w:t>GOLD LAYER</w:t>
        <w:br/>
        <w:t xml:space="preserve">  gold_dim_customers</w:t>
        <w:br/>
        <w:t xml:space="preserve">  gold_dim_products</w:t>
        <w:br/>
        <w:t xml:space="preserve">  gold_fact_sales</w:t>
        <w:br/>
        <w:t xml:space="preserve">          ↓</w:t>
        <w:br/>
        <w:t>BUSINESS ANALYSIS</w:t>
        <w:br/>
        <w:t xml:space="preserve">  Revenue | Orders | Customers | Products | Categories</w:t>
        <w:br/>
        <w:t xml:space="preserve">  Trends | Top products | Top customers | Repeat customers</w:t>
      </w:r>
    </w:p>
    <w:p>
      <w:pPr>
        <w:pStyle w:val="Heading1"/>
      </w:pPr>
      <w:r>
        <w:t>3. Architecture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5040"/>
          </w:tcPr>
          <w:p>
            <w:r>
              <w:t>CSV source files</w:t>
            </w:r>
          </w:p>
        </w:tc>
        <w:tc>
          <w:tcPr>
            <w:tcW w:type="dxa" w:w="5040"/>
          </w:tcPr>
          <w:p>
            <w:r>
              <w:t>Operational/source-system extracts used as project input.</w:t>
            </w:r>
          </w:p>
        </w:tc>
      </w:tr>
      <w:tr>
        <w:tc>
          <w:tcPr>
            <w:tcW w:type="dxa" w:w="5040"/>
          </w:tcPr>
          <w:p>
            <w:r>
              <w:t>Bronze layer</w:t>
            </w:r>
          </w:p>
        </w:tc>
        <w:tc>
          <w:tcPr>
            <w:tcW w:type="dxa" w:w="5040"/>
          </w:tcPr>
          <w:p>
            <w:r>
              <w:t>Stores source data with minimal structural changes.</w:t>
            </w:r>
          </w:p>
        </w:tc>
      </w:tr>
      <w:tr>
        <w:tc>
          <w:tcPr>
            <w:tcW w:type="dxa" w:w="5040"/>
          </w:tcPr>
          <w:p>
            <w:r>
              <w:t>Silver layer</w:t>
            </w:r>
          </w:p>
        </w:tc>
        <w:tc>
          <w:tcPr>
            <w:tcW w:type="dxa" w:w="5040"/>
          </w:tcPr>
          <w:p>
            <w:r>
              <w:t>Applies cleansing, standardization, validation, deduplication and derived fields.</w:t>
            </w:r>
          </w:p>
        </w:tc>
      </w:tr>
      <w:tr>
        <w:tc>
          <w:tcPr>
            <w:tcW w:type="dxa" w:w="5040"/>
          </w:tcPr>
          <w:p>
            <w:r>
              <w:t>Gold layer</w:t>
            </w:r>
          </w:p>
        </w:tc>
        <w:tc>
          <w:tcPr>
            <w:tcW w:type="dxa" w:w="5040"/>
          </w:tcPr>
          <w:p>
            <w:r>
              <w:t>Presents business-ready dimensions and facts as SQL views.</w:t>
            </w:r>
          </w:p>
        </w:tc>
      </w:tr>
      <w:tr>
        <w:tc>
          <w:tcPr>
            <w:tcW w:type="dxa" w:w="5040"/>
          </w:tcPr>
          <w:p>
            <w:r>
              <w:t>MySQL 8.4</w:t>
            </w:r>
          </w:p>
        </w:tc>
        <w:tc>
          <w:tcPr>
            <w:tcW w:type="dxa" w:w="5040"/>
          </w:tcPr>
          <w:p>
            <w:r>
              <w:t>Database engine for ingestion, transformation, modeling and analysis.</w:t>
            </w:r>
          </w:p>
        </w:tc>
      </w:tr>
      <w:tr>
        <w:tc>
          <w:tcPr>
            <w:tcW w:type="dxa" w:w="5040"/>
          </w:tcPr>
          <w:p>
            <w:r>
              <w:t>MySQL Workbench</w:t>
            </w:r>
          </w:p>
        </w:tc>
        <w:tc>
          <w:tcPr>
            <w:tcW w:type="dxa" w:w="5040"/>
          </w:tcPr>
          <w:p>
            <w:r>
              <w:t>SQL development and database management interface.</w:t>
            </w:r>
          </w:p>
        </w:tc>
      </w:tr>
      <w:tr>
        <w:tc>
          <w:tcPr>
            <w:tcW w:type="dxa" w:w="5040"/>
          </w:tcPr>
          <w:p>
            <w:r>
              <w:t>SQL scripts</w:t>
            </w:r>
          </w:p>
        </w:tc>
        <w:tc>
          <w:tcPr>
            <w:tcW w:type="dxa" w:w="5040"/>
          </w:tcPr>
          <w:p>
            <w:r>
              <w:t>Version-controlled DDL, loading, quality checks and analysis logic.</w:t>
            </w:r>
          </w:p>
        </w:tc>
      </w:tr>
    </w:tbl>
    <w:p>
      <w:pPr>
        <w:pStyle w:val="Heading1"/>
      </w:pPr>
      <w:r>
        <w:t>4. Layer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Primary responsibility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Typical operations</w:t>
            </w:r>
          </w:p>
        </w:tc>
      </w:tr>
      <w:tr>
        <w:tc>
          <w:tcPr>
            <w:tcW w:type="dxa" w:w="3360"/>
          </w:tcPr>
          <w:p>
            <w:r>
              <w:t>Bronze</w:t>
            </w:r>
          </w:p>
        </w:tc>
        <w:tc>
          <w:tcPr>
            <w:tcW w:type="dxa" w:w="3360"/>
          </w:tcPr>
          <w:p>
            <w:r>
              <w:t>Raw ingestion</w:t>
            </w:r>
          </w:p>
        </w:tc>
        <w:tc>
          <w:tcPr>
            <w:tcW w:type="dxa" w:w="3360"/>
          </w:tcPr>
          <w:p>
            <w:r>
              <w:t>CSV load; preserve source structure</w:t>
            </w:r>
          </w:p>
        </w:tc>
      </w:tr>
      <w:tr>
        <w:tc>
          <w:tcPr>
            <w:tcW w:type="dxa" w:w="3360"/>
          </w:tcPr>
          <w:p>
            <w:r>
              <w:t>Silver</w:t>
            </w:r>
          </w:p>
        </w:tc>
        <w:tc>
          <w:tcPr>
            <w:tcW w:type="dxa" w:w="3360"/>
          </w:tcPr>
          <w:p>
            <w:r>
              <w:t>Data preparation</w:t>
            </w:r>
          </w:p>
        </w:tc>
        <w:tc>
          <w:tcPr>
            <w:tcW w:type="dxa" w:w="3360"/>
          </w:tcPr>
          <w:p>
            <w:r>
              <w:t>TRIM; CASE; REPLACE; COALESCE; deduplication; date handling; derived fields</w:t>
            </w:r>
          </w:p>
        </w:tc>
      </w:tr>
      <w:tr>
        <w:tc>
          <w:tcPr>
            <w:tcW w:type="dxa" w:w="3360"/>
          </w:tcPr>
          <w:p>
            <w:r>
              <w:t>Gold</w:t>
            </w:r>
          </w:p>
        </w:tc>
        <w:tc>
          <w:tcPr>
            <w:tcW w:type="dxa" w:w="3360"/>
          </w:tcPr>
          <w:p>
            <w:r>
              <w:t>Business consumption</w:t>
            </w:r>
          </w:p>
        </w:tc>
        <w:tc>
          <w:tcPr>
            <w:tcW w:type="dxa" w:w="3360"/>
          </w:tcPr>
          <w:p>
            <w:r>
              <w:t>Dimensions; fact view; surrogate keys; joins; current-product filtering</w:t>
            </w:r>
          </w:p>
        </w:tc>
      </w:tr>
    </w:tbl>
    <w:p>
      <w:pPr>
        <w:pStyle w:val="Heading1"/>
      </w:pPr>
      <w:r>
        <w:t>5. Key Design Decisions</w:t>
      </w:r>
    </w:p>
    <w:p>
      <w:pPr>
        <w:pStyle w:val="ListBullet"/>
      </w:pPr>
      <w:r>
        <w:t>One MySQL database, DataWarehouse, is used instead of separate databases/schemas for Bronze, Silver and Gold.</w:t>
      </w:r>
    </w:p>
    <w:p>
      <w:pPr>
        <w:pStyle w:val="ListBullet"/>
      </w:pPr>
      <w:r>
        <w:t>Layer separation is represented through table/view prefixes: bronze_, silver_, and gold_.</w:t>
      </w:r>
    </w:p>
    <w:p>
      <w:pPr>
        <w:pStyle w:val="ListBullet"/>
      </w:pPr>
      <w:r>
        <w:t>Gold objects are views, so no physical Gold loading procedure is required.</w:t>
      </w:r>
    </w:p>
    <w:p>
      <w:pPr>
        <w:pStyle w:val="ListBullet"/>
      </w:pPr>
      <w:r>
        <w:t>Surrogate keys are generated in Gold with ROW_NUMBER() for dimensions.</w:t>
      </w:r>
    </w:p>
    <w:p>
      <w:pPr>
        <w:pStyle w:val="ListBullet"/>
      </w:pPr>
      <w:r>
        <w:t>Silver customer data retains the latest record per cst_id.</w:t>
      </w:r>
    </w:p>
    <w:p>
      <w:pPr>
        <w:pStyle w:val="ListBullet"/>
      </w:pPr>
      <w:r>
        <w:t>Gold fact data connects sales to customer and product dimensions using business keys.</w:t>
      </w:r>
    </w:p>
    <w:p>
      <w:pPr>
        <w:pStyle w:val="ListBullet"/>
      </w:pPr>
      <w:r>
        <w:t>SQL Server tutorial concepts are translated to MySQL syntax and behavior.</w:t>
      </w:r>
    </w:p>
    <w:p>
      <w:pPr>
        <w:pStyle w:val="Heading1"/>
      </w:pPr>
      <w:r>
        <w:t>6. Star Schema</w:t>
      </w:r>
    </w:p>
    <w:p>
      <w:r>
        <w:t>The Gold model follows a star-schema pattern: gold_fact_sales is the central fact and connects to gold_dim_customers and gold_dim_products.</w:t>
      </w:r>
    </w:p>
    <w:p>
      <w:r>
        <w:t xml:space="preserve">                 gold_dim_customers</w:t>
        <w:br/>
        <w:t xml:space="preserve">                         |</w:t>
        <w:br/>
        <w:t xml:space="preserve">                         | customer_key</w:t>
        <w:br/>
        <w:t xml:space="preserve">                         |</w:t>
        <w:br/>
        <w:t xml:space="preserve">                  gold_fact_sales</w:t>
        <w:br/>
        <w:t xml:space="preserve">                         |</w:t>
        <w:br/>
        <w:t xml:space="preserve">                         | product_key</w:t>
        <w:br/>
        <w:t xml:space="preserve">                         |</w:t>
        <w:br/>
        <w:t xml:space="preserve">                  gold_dim_products</w:t>
      </w:r>
    </w:p>
    <w:p>
      <w:pPr>
        <w:pStyle w:val="Heading1"/>
      </w:pPr>
      <w:r>
        <w:t>7. Architecture Benefits</w:t>
      </w:r>
    </w:p>
    <w:p>
      <w:pPr>
        <w:pStyle w:val="ListBullet"/>
      </w:pPr>
      <w:r>
        <w:t>Clear separation of raw, transformed and business-ready data.</w:t>
      </w:r>
    </w:p>
    <w:p>
      <w:pPr>
        <w:pStyle w:val="ListBullet"/>
      </w:pPr>
      <w:r>
        <w:t>Traceable transformations from source to Gold.</w:t>
      </w:r>
    </w:p>
    <w:p>
      <w:pPr>
        <w:pStyle w:val="ListBullet"/>
      </w:pPr>
      <w:r>
        <w:t>Reusable Gold views for analysis.</w:t>
      </w:r>
    </w:p>
    <w:p>
      <w:pPr>
        <w:pStyle w:val="ListBullet"/>
      </w:pPr>
      <w:r>
        <w:t>Simple star-schema consumption for reporting and SQL analysis.</w:t>
      </w:r>
    </w:p>
    <w:p>
      <w:pPr>
        <w:pStyle w:val="Heading1"/>
      </w:pPr>
      <w:r>
        <w:t>8. Future Architecture Enhancements</w:t>
      </w:r>
    </w:p>
    <w:p>
      <w:pPr>
        <w:pStyle w:val="ListBullet"/>
      </w:pPr>
      <w:r>
        <w:t>Automated orchestration and scheduling.</w:t>
      </w:r>
    </w:p>
    <w:p>
      <w:pPr>
        <w:pStyle w:val="ListBullet"/>
      </w:pPr>
      <w:r>
        <w:t>Incremental loading instead of full refresh.</w:t>
      </w:r>
    </w:p>
    <w:p>
      <w:pPr>
        <w:pStyle w:val="ListBullet"/>
      </w:pPr>
      <w:r>
        <w:t>Indexes and partitioning based on workload.</w:t>
      </w:r>
    </w:p>
    <w:p>
      <w:pPr>
        <w:pStyle w:val="ListBullet"/>
      </w:pPr>
      <w:r>
        <w:t>Automated data-quality reporting.</w:t>
      </w:r>
    </w:p>
    <w:p>
      <w:pPr>
        <w:pStyle w:val="ListBullet"/>
      </w:pPr>
      <w:r>
        <w:t>BI dashboard integration.</w:t>
      </w:r>
    </w:p>
    <w:p>
      <w:pPr>
        <w:pStyle w:val="ListBullet"/>
      </w:pPr>
      <w:r>
        <w:t>Cloud deployment and centralized monitoring.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