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— Data Quality &amp; Testing Report</w:t>
      </w:r>
    </w:p>
    <w:p>
      <w:pPr>
        <w:jc w:val="center"/>
      </w:pPr>
      <w:r>
        <w:t>SQL Data Warehouse Project | Validation strategy and observed checks</w:t>
      </w:r>
    </w:p>
    <w:p>
      <w:pPr>
        <w:pStyle w:val="Heading1"/>
      </w:pPr>
      <w:r>
        <w:t>1. Purpose</w:t>
      </w:r>
    </w:p>
    <w:p>
      <w:r>
        <w:t>This report documents the project's data-quality rules, validation approach, and known executed results.</w:t>
      </w:r>
    </w:p>
    <w:p>
      <w:pPr>
        <w:pStyle w:val="Heading1"/>
      </w:pPr>
      <w:r>
        <w:t>2. Quality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is checked</w:t>
            </w:r>
          </w:p>
        </w:tc>
      </w:tr>
      <w:tr>
        <w:tc>
          <w:tcPr>
            <w:tcW w:type="dxa" w:w="5040"/>
          </w:tcPr>
          <w:p>
            <w:r>
              <w:t>Completeness</w:t>
            </w:r>
          </w:p>
        </w:tc>
        <w:tc>
          <w:tcPr>
            <w:tcW w:type="dxa" w:w="5040"/>
          </w:tcPr>
          <w:p>
            <w:r>
              <w:t>Required identifiers and important fields are not unexpectedly NULL.</w:t>
            </w:r>
          </w:p>
        </w:tc>
      </w:tr>
      <w:tr>
        <w:tc>
          <w:tcPr>
            <w:tcW w:type="dxa" w:w="5040"/>
          </w:tcPr>
          <w:p>
            <w:r>
              <w:t>Uniqueness</w:t>
            </w:r>
          </w:p>
        </w:tc>
        <w:tc>
          <w:tcPr>
            <w:tcW w:type="dxa" w:w="5040"/>
          </w:tcPr>
          <w:p>
            <w:r>
              <w:t>Customer identifiers and Gold surrogate keys do not create unintended duplicates.</w:t>
            </w:r>
          </w:p>
        </w:tc>
      </w:tr>
      <w:tr>
        <w:tc>
          <w:tcPr>
            <w:tcW w:type="dxa" w:w="5040"/>
          </w:tcPr>
          <w:p>
            <w:r>
              <w:t>Validity</w:t>
            </w:r>
          </w:p>
        </w:tc>
        <w:tc>
          <w:tcPr>
            <w:tcW w:type="dxa" w:w="5040"/>
          </w:tcPr>
          <w:p>
            <w:r>
              <w:t>Dates, categorical values and numeric values follow expected rules.</w:t>
            </w:r>
          </w:p>
        </w:tc>
      </w:tr>
      <w:tr>
        <w:tc>
          <w:tcPr>
            <w:tcW w:type="dxa" w:w="5040"/>
          </w:tcPr>
          <w:p>
            <w:r>
              <w:t>Consistency</w:t>
            </w:r>
          </w:p>
        </w:tc>
        <w:tc>
          <w:tcPr>
            <w:tcW w:type="dxa" w:w="5040"/>
          </w:tcPr>
          <w:p>
            <w:r>
              <w:t>Sales amount is consistent with quantity × absolute price.</w:t>
            </w:r>
          </w:p>
        </w:tc>
      </w:tr>
      <w:tr>
        <w:tc>
          <w:tcPr>
            <w:tcW w:type="dxa" w:w="5040"/>
          </w:tcPr>
          <w:p>
            <w:r>
              <w:t>Referential integrity</w:t>
            </w:r>
          </w:p>
        </w:tc>
        <w:tc>
          <w:tcPr>
            <w:tcW w:type="dxa" w:w="5040"/>
          </w:tcPr>
          <w:p>
            <w:r>
              <w:t>Sales facts connect to customer and product dimensions.</w:t>
            </w:r>
          </w:p>
        </w:tc>
      </w:tr>
      <w:tr>
        <w:tc>
          <w:tcPr>
            <w:tcW w:type="dxa" w:w="5040"/>
          </w:tcPr>
          <w:p>
            <w:r>
              <w:t>Standardization</w:t>
            </w:r>
          </w:p>
        </w:tc>
        <w:tc>
          <w:tcPr>
            <w:tcW w:type="dxa" w:w="5040"/>
          </w:tcPr>
          <w:p>
            <w:r>
              <w:t>Gender, marital status, product line and country use consistent labels.</w:t>
            </w:r>
          </w:p>
        </w:tc>
      </w:tr>
    </w:tbl>
    <w:p>
      <w:pPr>
        <w:pStyle w:val="Heading1"/>
      </w:pPr>
      <w:r>
        <w:t>3. Bronze Validation</w:t>
      </w:r>
    </w:p>
    <w:p>
      <w:r>
        <w:t>Observed loaded row counts: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Bronze table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Rows</w:t>
            </w:r>
          </w:p>
        </w:tc>
      </w:tr>
      <w:tr>
        <w:tc>
          <w:tcPr>
            <w:tcW w:type="dxa" w:w="5040"/>
          </w:tcPr>
          <w:p>
            <w:r>
              <w:t>bronze_crm_cust_info</w:t>
            </w:r>
          </w:p>
        </w:tc>
        <w:tc>
          <w:tcPr>
            <w:tcW w:type="dxa" w:w="5040"/>
          </w:tcPr>
          <w:p>
            <w:r>
              <w:t>18,494</w:t>
            </w:r>
          </w:p>
        </w:tc>
      </w:tr>
      <w:tr>
        <w:tc>
          <w:tcPr>
            <w:tcW w:type="dxa" w:w="5040"/>
          </w:tcPr>
          <w:p>
            <w:r>
              <w:t>bronze_crm_prd_info</w:t>
            </w:r>
          </w:p>
        </w:tc>
        <w:tc>
          <w:tcPr>
            <w:tcW w:type="dxa" w:w="5040"/>
          </w:tcPr>
          <w:p>
            <w:r>
              <w:t>397</w:t>
            </w:r>
          </w:p>
        </w:tc>
      </w:tr>
      <w:tr>
        <w:tc>
          <w:tcPr>
            <w:tcW w:type="dxa" w:w="5040"/>
          </w:tcPr>
          <w:p>
            <w:r>
              <w:t>bronze_crm_sales_details</w:t>
            </w:r>
          </w:p>
        </w:tc>
        <w:tc>
          <w:tcPr>
            <w:tcW w:type="dxa" w:w="5040"/>
          </w:tcPr>
          <w:p>
            <w:r>
              <w:t>60,398</w:t>
            </w:r>
          </w:p>
        </w:tc>
      </w:tr>
      <w:tr>
        <w:tc>
          <w:tcPr>
            <w:tcW w:type="dxa" w:w="5040"/>
          </w:tcPr>
          <w:p>
            <w:r>
              <w:t>bronze_erp_cust_az12</w:t>
            </w:r>
          </w:p>
        </w:tc>
        <w:tc>
          <w:tcPr>
            <w:tcW w:type="dxa" w:w="5040"/>
          </w:tcPr>
          <w:p>
            <w:r>
              <w:t>18,484</w:t>
            </w:r>
          </w:p>
        </w:tc>
      </w:tr>
      <w:tr>
        <w:tc>
          <w:tcPr>
            <w:tcW w:type="dxa" w:w="5040"/>
          </w:tcPr>
          <w:p>
            <w:r>
              <w:t>bronze_erp_loc_a101</w:t>
            </w:r>
          </w:p>
        </w:tc>
        <w:tc>
          <w:tcPr>
            <w:tcW w:type="dxa" w:w="5040"/>
          </w:tcPr>
          <w:p>
            <w:r>
              <w:t>18,484</w:t>
            </w:r>
          </w:p>
        </w:tc>
      </w:tr>
      <w:tr>
        <w:tc>
          <w:tcPr>
            <w:tcW w:type="dxa" w:w="5040"/>
          </w:tcPr>
          <w:p>
            <w:r>
              <w:t>bronze_erp_px_cat_g1v2</w:t>
            </w:r>
          </w:p>
        </w:tc>
        <w:tc>
          <w:tcPr>
            <w:tcW w:type="dxa" w:w="5040"/>
          </w:tcPr>
          <w:p>
            <w:r>
              <w:t>37</w:t>
            </w:r>
          </w:p>
        </w:tc>
      </w:tr>
    </w:tbl>
    <w:p>
      <w:r>
        <w:t>The Bronze date ingestion initially produced zero dates (0000-00-00) for blank source dates. These were cleaned to NULL before Silver loading.</w:t>
      </w:r>
    </w:p>
    <w:p>
      <w:pPr>
        <w:pStyle w:val="Heading1"/>
      </w:pPr>
      <w:r>
        <w:t>4. Silver Validation</w:t>
      </w:r>
    </w:p>
    <w:p>
      <w:r>
        <w:t>Observed loaded row counts: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Silver table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Rows</w:t>
            </w:r>
          </w:p>
        </w:tc>
      </w:tr>
      <w:tr>
        <w:tc>
          <w:tcPr>
            <w:tcW w:type="dxa" w:w="5040"/>
          </w:tcPr>
          <w:p>
            <w:r>
              <w:t>silver_crm_cust_info</w:t>
            </w:r>
          </w:p>
        </w:tc>
        <w:tc>
          <w:tcPr>
            <w:tcW w:type="dxa" w:w="5040"/>
          </w:tcPr>
          <w:p>
            <w:r>
              <w:t>18,485</w:t>
            </w:r>
          </w:p>
        </w:tc>
      </w:tr>
      <w:tr>
        <w:tc>
          <w:tcPr>
            <w:tcW w:type="dxa" w:w="5040"/>
          </w:tcPr>
          <w:p>
            <w:r>
              <w:t>silver_crm_prd_info</w:t>
            </w:r>
          </w:p>
        </w:tc>
        <w:tc>
          <w:tcPr>
            <w:tcW w:type="dxa" w:w="5040"/>
          </w:tcPr>
          <w:p>
            <w:r>
              <w:t>397</w:t>
            </w:r>
          </w:p>
        </w:tc>
      </w:tr>
      <w:tr>
        <w:tc>
          <w:tcPr>
            <w:tcW w:type="dxa" w:w="5040"/>
          </w:tcPr>
          <w:p>
            <w:r>
              <w:t>silver_crm_sales_details</w:t>
            </w:r>
          </w:p>
        </w:tc>
        <w:tc>
          <w:tcPr>
            <w:tcW w:type="dxa" w:w="5040"/>
          </w:tcPr>
          <w:p>
            <w:r>
              <w:t>60,398</w:t>
            </w:r>
          </w:p>
        </w:tc>
      </w:tr>
      <w:tr>
        <w:tc>
          <w:tcPr>
            <w:tcW w:type="dxa" w:w="5040"/>
          </w:tcPr>
          <w:p>
            <w:r>
              <w:t>silver_erp_cust_az12</w:t>
            </w:r>
          </w:p>
        </w:tc>
        <w:tc>
          <w:tcPr>
            <w:tcW w:type="dxa" w:w="5040"/>
          </w:tcPr>
          <w:p>
            <w:r>
              <w:t>18,484</w:t>
            </w:r>
          </w:p>
        </w:tc>
      </w:tr>
      <w:tr>
        <w:tc>
          <w:tcPr>
            <w:tcW w:type="dxa" w:w="5040"/>
          </w:tcPr>
          <w:p>
            <w:r>
              <w:t>silver_erp_loc_a101</w:t>
            </w:r>
          </w:p>
        </w:tc>
        <w:tc>
          <w:tcPr>
            <w:tcW w:type="dxa" w:w="5040"/>
          </w:tcPr>
          <w:p>
            <w:r>
              <w:t>18,484</w:t>
            </w:r>
          </w:p>
        </w:tc>
      </w:tr>
      <w:tr>
        <w:tc>
          <w:tcPr>
            <w:tcW w:type="dxa" w:w="5040"/>
          </w:tcPr>
          <w:p>
            <w:r>
              <w:t>silver_erp_px_cat_g1v2</w:t>
            </w:r>
          </w:p>
        </w:tc>
        <w:tc>
          <w:tcPr>
            <w:tcW w:type="dxa" w:w="5040"/>
          </w:tcPr>
          <w:p>
            <w:r>
              <w:t>37</w:t>
            </w:r>
          </w:p>
        </w:tc>
      </w:tr>
    </w:tbl>
    <w:p>
      <w:r>
        <w:t>The CRM customer count decreases from 18,494 to 18,485 because Silver keeps the latest record for each cst_id.</w:t>
      </w:r>
    </w:p>
    <w:p>
      <w:pPr>
        <w:pStyle w:val="Heading1"/>
      </w:pPr>
      <w:r>
        <w:t>5. Gold Validation</w:t>
      </w:r>
    </w:p>
    <w:p>
      <w:r>
        <w:t>Four executed Gold checks returned 0 problematic records: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Observed</w:t>
            </w:r>
          </w:p>
        </w:tc>
      </w:tr>
      <w:tr>
        <w:tc>
          <w:tcPr>
            <w:tcW w:type="dxa" w:w="3360"/>
          </w:tcPr>
          <w:p>
            <w:r>
              <w:t>Duplicate customer surrogate keys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Duplicate product surrogate keys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Fact-to-customer connectivity failures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  <w:tr>
        <w:tc>
          <w:tcPr>
            <w:tcW w:type="dxa" w:w="3360"/>
          </w:tcPr>
          <w:p>
            <w:r>
              <w:t>Fact-to-product connectivity failures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0</w:t>
            </w:r>
          </w:p>
        </w:tc>
      </w:tr>
    </w:tbl>
    <w:p>
      <w:pPr>
        <w:pStyle w:val="Heading1"/>
      </w:pPr>
      <w:r>
        <w:t>6. Key Transformation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5040"/>
          </w:tcPr>
          <w:p>
            <w:r>
              <w:t>Customer status S/M</w:t>
            </w:r>
          </w:p>
        </w:tc>
        <w:tc>
          <w:tcPr>
            <w:tcW w:type="dxa" w:w="5040"/>
          </w:tcPr>
          <w:p>
            <w:r>
              <w:t>Single / Married</w:t>
            </w:r>
          </w:p>
        </w:tc>
      </w:tr>
      <w:tr>
        <w:tc>
          <w:tcPr>
            <w:tcW w:type="dxa" w:w="5040"/>
          </w:tcPr>
          <w:p>
            <w:r>
              <w:t>Customer gender F/M</w:t>
            </w:r>
          </w:p>
        </w:tc>
        <w:tc>
          <w:tcPr>
            <w:tcW w:type="dxa" w:w="5040"/>
          </w:tcPr>
          <w:p>
            <w:r>
              <w:t>Female / Male</w:t>
            </w:r>
          </w:p>
        </w:tc>
      </w:tr>
      <w:tr>
        <w:tc>
          <w:tcPr>
            <w:tcW w:type="dxa" w:w="5040"/>
          </w:tcPr>
          <w:p>
            <w:r>
              <w:t>ERP gender</w:t>
            </w:r>
          </w:p>
        </w:tc>
        <w:tc>
          <w:tcPr>
            <w:tcW w:type="dxa" w:w="5040"/>
          </w:tcPr>
          <w:p>
            <w:r>
              <w:t>Female / Male / n/a</w:t>
            </w:r>
          </w:p>
        </w:tc>
      </w:tr>
      <w:tr>
        <w:tc>
          <w:tcPr>
            <w:tcW w:type="dxa" w:w="5040"/>
          </w:tcPr>
          <w:p>
            <w:r>
              <w:t>Product line M/R/S/T</w:t>
            </w:r>
          </w:p>
        </w:tc>
        <w:tc>
          <w:tcPr>
            <w:tcW w:type="dxa" w:w="5040"/>
          </w:tcPr>
          <w:p>
            <w:r>
              <w:t>Mountain / Road / Other Sales / Touring</w:t>
            </w:r>
          </w:p>
        </w:tc>
      </w:tr>
      <w:tr>
        <w:tc>
          <w:tcPr>
            <w:tcW w:type="dxa" w:w="5040"/>
          </w:tcPr>
          <w:p>
            <w:r>
              <w:t>Product cost NULL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Invalid sales amount</w:t>
            </w:r>
          </w:p>
        </w:tc>
        <w:tc>
          <w:tcPr>
            <w:tcW w:type="dxa" w:w="5040"/>
          </w:tcPr>
          <w:p>
            <w:r>
              <w:t>quantity × ABS(price)</w:t>
            </w:r>
          </w:p>
        </w:tc>
      </w:tr>
      <w:tr>
        <w:tc>
          <w:tcPr>
            <w:tcW w:type="dxa" w:w="5040"/>
          </w:tcPr>
          <w:p>
            <w:r>
              <w:t>Invalid/non-positive price</w:t>
            </w:r>
          </w:p>
        </w:tc>
        <w:tc>
          <w:tcPr>
            <w:tcW w:type="dxa" w:w="5040"/>
          </w:tcPr>
          <w:p>
            <w:r>
              <w:t>sales ÷ quantity, protected against zero quantity</w:t>
            </w:r>
          </w:p>
        </w:tc>
      </w:tr>
      <w:tr>
        <w:tc>
          <w:tcPr>
            <w:tcW w:type="dxa" w:w="5040"/>
          </w:tcPr>
          <w:p>
            <w:r>
              <w:t>Future ERP birthdate</w:t>
            </w:r>
          </w:p>
        </w:tc>
        <w:tc>
          <w:tcPr>
            <w:tcW w:type="dxa" w:w="5040"/>
          </w:tcPr>
          <w:p>
            <w:r>
              <w:t>NULL</w:t>
            </w:r>
          </w:p>
        </w:tc>
      </w:tr>
      <w:tr>
        <w:tc>
          <w:tcPr>
            <w:tcW w:type="dxa" w:w="5040"/>
          </w:tcPr>
          <w:p>
            <w:r>
              <w:t>Current Gold products</w:t>
            </w:r>
          </w:p>
        </w:tc>
        <w:tc>
          <w:tcPr>
            <w:tcW w:type="dxa" w:w="5040"/>
          </w:tcPr>
          <w:p>
            <w:r>
              <w:t>prd_end_dt IS NULL</w:t>
            </w:r>
          </w:p>
        </w:tc>
      </w:tr>
    </w:tbl>
    <w:p>
      <w:pPr>
        <w:pStyle w:val="Heading1"/>
      </w:pPr>
      <w:r>
        <w:t>7. Regression Checklist</w:t>
      </w:r>
    </w:p>
    <w:p>
      <w:pPr>
        <w:pStyle w:val="ListBullet"/>
      </w:pPr>
      <w:r>
        <w:t>Run Bronze row-count checks after reload.</w:t>
      </w:r>
    </w:p>
    <w:p>
      <w:pPr>
        <w:pStyle w:val="ListBullet"/>
      </w:pPr>
      <w:r>
        <w:t>Run Silver row-count and null/duplicate checks.</w:t>
      </w:r>
    </w:p>
    <w:p>
      <w:pPr>
        <w:pStyle w:val="ListBullet"/>
      </w:pPr>
      <w:r>
        <w:t>Confirm Gold views compile.</w:t>
      </w:r>
    </w:p>
    <w:p>
      <w:pPr>
        <w:pStyle w:val="ListBullet"/>
      </w:pPr>
      <w:r>
        <w:t>Confirm Gold dimension surrogate keys are unique.</w:t>
      </w:r>
    </w:p>
    <w:p>
      <w:pPr>
        <w:pStyle w:val="ListBullet"/>
      </w:pPr>
      <w:r>
        <w:t>Confirm fact foreign-key lookups have no unmatched records.</w:t>
      </w:r>
    </w:p>
    <w:p>
      <w:pPr>
        <w:pStyle w:val="ListBullet"/>
      </w:pPr>
      <w:r>
        <w:t>Run analysis queries and inspect results for obvious anomalies.</w:t>
      </w:r>
    </w:p>
    <w:p>
      <w:pPr>
        <w:pStyle w:val="Heading1"/>
      </w:pPr>
      <w:r>
        <w:t>8. Future Automated Testing</w:t>
      </w:r>
    </w:p>
    <w:p>
      <w:pPr>
        <w:pStyle w:val="ListBullet"/>
      </w:pPr>
      <w:r>
        <w:t>Store test results with execution timestamps.</w:t>
      </w:r>
    </w:p>
    <w:p>
      <w:pPr>
        <w:pStyle w:val="ListBullet"/>
      </w:pPr>
      <w:r>
        <w:t>Fail pipeline on critical quality violations.</w:t>
      </w:r>
    </w:p>
    <w:p>
      <w:pPr>
        <w:pStyle w:val="ListBullet"/>
      </w:pPr>
      <w:r>
        <w:t>Add boundary-value tests for dates and numeric measures.</w:t>
      </w:r>
    </w:p>
    <w:p>
      <w:pPr>
        <w:pStyle w:val="ListBullet"/>
      </w:pPr>
      <w:r>
        <w:t>Add source-to-target reconciliation totals.</w:t>
      </w:r>
    </w:p>
    <w:p>
      <w:pPr>
        <w:pStyle w:val="ListBullet"/>
      </w:pPr>
      <w:r>
        <w:t>Add automated regression tests to CI/CD.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