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3621D">
      <w:pPr>
        <w:spacing w:before="2000"/>
      </w:pPr>
    </w:p>
    <w:p w14:paraId="42DC2CB5">
      <w:pPr>
        <w:spacing w:after="200"/>
        <w:jc w:val="center"/>
      </w:pPr>
      <w:r>
        <w:rPr>
          <w:b/>
          <w:bCs/>
          <w:caps/>
          <w:color w:val="2E74B5"/>
          <w:sz w:val="28"/>
          <w:szCs w:val="28"/>
        </w:rPr>
        <w:t>PROJECT REPORT</w:t>
      </w:r>
    </w:p>
    <w:p w14:paraId="51A064A6">
      <w:pPr>
        <w:pBdr>
          <w:bottom w:val="single" w:color="2E74B5" w:sz="12" w:space="10"/>
        </w:pBdr>
        <w:spacing w:after="400"/>
        <w:jc w:val="center"/>
      </w:pPr>
      <w:r>
        <w:rPr>
          <w:b/>
          <w:bCs/>
          <w:color w:val="1F3864"/>
          <w:sz w:val="48"/>
          <w:szCs w:val="48"/>
        </w:rPr>
        <w:t>Credit Card Customer Churn Prediction</w:t>
      </w:r>
    </w:p>
    <w:p w14:paraId="49C58031">
      <w:pPr>
        <w:spacing w:after="900"/>
        <w:jc w:val="center"/>
      </w:pPr>
      <w:r>
        <w:rPr>
          <w:b/>
          <w:bCs/>
          <w:color w:val="2E74B5"/>
          <w:sz w:val="32"/>
          <w:szCs w:val="32"/>
        </w:rPr>
        <w:t>Using Machine Learning</w:t>
      </w:r>
    </w:p>
    <w:p w14:paraId="4DC69935">
      <w:pPr>
        <w:spacing w:after="120"/>
        <w:jc w:val="center"/>
      </w:pPr>
      <w:r>
        <w:rPr>
          <w:i/>
          <w:iCs/>
          <w:color w:val="595959"/>
          <w:sz w:val="22"/>
          <w:szCs w:val="22"/>
        </w:rPr>
        <w:t>A Machine Learning Project Report</w:t>
      </w:r>
    </w:p>
    <w:p w14:paraId="61AC2EBB">
      <w:pPr>
        <w:spacing w:before="1600"/>
      </w:pPr>
    </w:p>
    <w:tbl>
      <w:tblPr>
        <w:tblStyle w:val="9"/>
        <w:tblW w:w="6500" w:type="dxa"/>
        <w:jc w:val="center"/>
        <w:tblBorders>
          <w:top w:val="none" w:color="auto" w:sz="0" w:space="0"/>
          <w:left w:val="none" w:color="auto" w:sz="0" w:space="0"/>
          <w:bottom w:val="none" w:color="auto" w:sz="0" w:space="0"/>
          <w:right w:val="none" w:color="auto" w:sz="0" w:space="0"/>
          <w:insideH w:val="single" w:color="D9D9D9" w:sz="2" w:space="0"/>
          <w:insideV w:val="none" w:color="auto" w:sz="0" w:space="0"/>
        </w:tblBorders>
        <w:tblLayout w:type="autofit"/>
        <w:tblCellMar>
          <w:top w:w="0" w:type="dxa"/>
          <w:left w:w="10" w:type="dxa"/>
          <w:bottom w:w="0" w:type="dxa"/>
          <w:right w:w="10" w:type="dxa"/>
        </w:tblCellMar>
      </w:tblPr>
      <w:tblGrid>
        <w:gridCol w:w="2600"/>
        <w:gridCol w:w="3900"/>
      </w:tblGrid>
      <w:tr w14:paraId="617FE163">
        <w:tblPrEx>
          <w:tblBorders>
            <w:top w:val="none" w:color="auto" w:sz="0" w:space="0"/>
            <w:left w:val="none" w:color="auto" w:sz="0" w:space="0"/>
            <w:bottom w:val="none" w:color="auto" w:sz="0" w:space="0"/>
            <w:right w:val="none" w:color="auto" w:sz="0" w:space="0"/>
            <w:insideH w:val="single" w:color="D9D9D9" w:sz="2" w:space="0"/>
            <w:insideV w:val="none" w:color="auto" w:sz="0" w:space="0"/>
          </w:tblBorders>
        </w:tblPrEx>
        <w:trPr>
          <w:jc w:val="center"/>
        </w:trPr>
        <w:tc>
          <w:tcPr>
            <w:tcW w:w="2600" w:type="dxa"/>
            <w:tcMar>
              <w:top w:w="80" w:type="dxa"/>
              <w:left w:w="60" w:type="dxa"/>
              <w:bottom w:w="80" w:type="dxa"/>
              <w:right w:w="120" w:type="dxa"/>
            </w:tcMar>
          </w:tcPr>
          <w:p w14:paraId="321D76AF">
            <w:r>
              <w:rPr>
                <w:b/>
                <w:bCs/>
                <w:color w:val="1F3864"/>
                <w:sz w:val="20"/>
                <w:szCs w:val="20"/>
              </w:rPr>
              <w:t>Domain</w:t>
            </w:r>
          </w:p>
        </w:tc>
        <w:tc>
          <w:tcPr>
            <w:tcW w:w="3900" w:type="dxa"/>
            <w:tcMar>
              <w:top w:w="80" w:type="dxa"/>
              <w:left w:w="120" w:type="dxa"/>
              <w:bottom w:w="80" w:type="dxa"/>
              <w:right w:w="60" w:type="dxa"/>
            </w:tcMar>
          </w:tcPr>
          <w:p w14:paraId="763EC9FF">
            <w:r>
              <w:rPr>
                <w:color w:val="262626"/>
                <w:sz w:val="20"/>
                <w:szCs w:val="20"/>
              </w:rPr>
              <w:t>Data Science / Machine Learning</w:t>
            </w:r>
          </w:p>
        </w:tc>
      </w:tr>
      <w:tr w14:paraId="71D844A1">
        <w:tblPrEx>
          <w:tblBorders>
            <w:top w:val="none" w:color="auto" w:sz="0" w:space="0"/>
            <w:left w:val="none" w:color="auto" w:sz="0" w:space="0"/>
            <w:bottom w:val="none" w:color="auto" w:sz="0" w:space="0"/>
            <w:right w:val="none" w:color="auto" w:sz="0" w:space="0"/>
            <w:insideH w:val="single" w:color="D9D9D9" w:sz="2" w:space="0"/>
            <w:insideV w:val="none" w:color="auto" w:sz="0" w:space="0"/>
          </w:tblBorders>
          <w:tblCellMar>
            <w:top w:w="0" w:type="dxa"/>
            <w:left w:w="10" w:type="dxa"/>
            <w:bottom w:w="0" w:type="dxa"/>
            <w:right w:w="10" w:type="dxa"/>
          </w:tblCellMar>
        </w:tblPrEx>
        <w:trPr>
          <w:jc w:val="center"/>
        </w:trPr>
        <w:tc>
          <w:tcPr>
            <w:tcW w:w="2600" w:type="dxa"/>
            <w:tcMar>
              <w:top w:w="80" w:type="dxa"/>
              <w:left w:w="60" w:type="dxa"/>
              <w:bottom w:w="80" w:type="dxa"/>
              <w:right w:w="120" w:type="dxa"/>
            </w:tcMar>
          </w:tcPr>
          <w:p w14:paraId="7BF69D53">
            <w:r>
              <w:rPr>
                <w:b/>
                <w:bCs/>
                <w:color w:val="1F3864"/>
                <w:sz w:val="20"/>
                <w:szCs w:val="20"/>
              </w:rPr>
              <w:t>Dataset</w:t>
            </w:r>
          </w:p>
        </w:tc>
        <w:tc>
          <w:tcPr>
            <w:tcW w:w="3900" w:type="dxa"/>
            <w:tcMar>
              <w:top w:w="80" w:type="dxa"/>
              <w:left w:w="120" w:type="dxa"/>
              <w:bottom w:w="80" w:type="dxa"/>
              <w:right w:w="60" w:type="dxa"/>
            </w:tcMar>
          </w:tcPr>
          <w:p w14:paraId="25B1B0FB">
            <w:r>
              <w:rPr>
                <w:color w:val="262626"/>
                <w:sz w:val="20"/>
                <w:szCs w:val="20"/>
              </w:rPr>
              <w:t>Kaggle BankChurners (Credit Card Customers)</w:t>
            </w:r>
          </w:p>
        </w:tc>
      </w:tr>
      <w:tr w14:paraId="11CD82B6">
        <w:tblPrEx>
          <w:tblBorders>
            <w:top w:val="none" w:color="auto" w:sz="0" w:space="0"/>
            <w:left w:val="none" w:color="auto" w:sz="0" w:space="0"/>
            <w:bottom w:val="none" w:color="auto" w:sz="0" w:space="0"/>
            <w:right w:val="none" w:color="auto" w:sz="0" w:space="0"/>
            <w:insideH w:val="single" w:color="D9D9D9" w:sz="2" w:space="0"/>
            <w:insideV w:val="none" w:color="auto" w:sz="0" w:space="0"/>
          </w:tblBorders>
          <w:tblCellMar>
            <w:top w:w="0" w:type="dxa"/>
            <w:left w:w="10" w:type="dxa"/>
            <w:bottom w:w="0" w:type="dxa"/>
            <w:right w:w="10" w:type="dxa"/>
          </w:tblCellMar>
        </w:tblPrEx>
        <w:trPr>
          <w:jc w:val="center"/>
        </w:trPr>
        <w:tc>
          <w:tcPr>
            <w:tcW w:w="2600" w:type="dxa"/>
            <w:tcMar>
              <w:top w:w="80" w:type="dxa"/>
              <w:left w:w="60" w:type="dxa"/>
              <w:bottom w:w="80" w:type="dxa"/>
              <w:right w:w="120" w:type="dxa"/>
            </w:tcMar>
          </w:tcPr>
          <w:p w14:paraId="62C806AF">
            <w:r>
              <w:rPr>
                <w:b/>
                <w:bCs/>
                <w:color w:val="1F3864"/>
                <w:sz w:val="20"/>
                <w:szCs w:val="20"/>
              </w:rPr>
              <w:t>Records</w:t>
            </w:r>
          </w:p>
        </w:tc>
        <w:tc>
          <w:tcPr>
            <w:tcW w:w="3900" w:type="dxa"/>
            <w:tcMar>
              <w:top w:w="80" w:type="dxa"/>
              <w:left w:w="120" w:type="dxa"/>
              <w:bottom w:w="80" w:type="dxa"/>
              <w:right w:w="60" w:type="dxa"/>
            </w:tcMar>
          </w:tcPr>
          <w:p w14:paraId="3119E4BF">
            <w:r>
              <w:rPr>
                <w:color w:val="262626"/>
                <w:sz w:val="20"/>
                <w:szCs w:val="20"/>
              </w:rPr>
              <w:t>10,127 customers, 23 original attributes</w:t>
            </w:r>
          </w:p>
        </w:tc>
      </w:tr>
      <w:tr w14:paraId="4A6169E8">
        <w:tblPrEx>
          <w:tblBorders>
            <w:top w:val="none" w:color="auto" w:sz="0" w:space="0"/>
            <w:left w:val="none" w:color="auto" w:sz="0" w:space="0"/>
            <w:bottom w:val="none" w:color="auto" w:sz="0" w:space="0"/>
            <w:right w:val="none" w:color="auto" w:sz="0" w:space="0"/>
            <w:insideH w:val="single" w:color="D9D9D9" w:sz="2" w:space="0"/>
            <w:insideV w:val="none" w:color="auto" w:sz="0" w:space="0"/>
          </w:tblBorders>
          <w:tblCellMar>
            <w:top w:w="0" w:type="dxa"/>
            <w:left w:w="10" w:type="dxa"/>
            <w:bottom w:w="0" w:type="dxa"/>
            <w:right w:w="10" w:type="dxa"/>
          </w:tblCellMar>
        </w:tblPrEx>
        <w:trPr>
          <w:jc w:val="center"/>
        </w:trPr>
        <w:tc>
          <w:tcPr>
            <w:tcW w:w="2600" w:type="dxa"/>
            <w:tcMar>
              <w:top w:w="80" w:type="dxa"/>
              <w:left w:w="60" w:type="dxa"/>
              <w:bottom w:w="80" w:type="dxa"/>
              <w:right w:w="120" w:type="dxa"/>
            </w:tcMar>
          </w:tcPr>
          <w:p w14:paraId="5A36D71D">
            <w:r>
              <w:rPr>
                <w:b/>
                <w:bCs/>
                <w:color w:val="1F3864"/>
                <w:sz w:val="20"/>
                <w:szCs w:val="20"/>
              </w:rPr>
              <w:t>Target Variable</w:t>
            </w:r>
          </w:p>
        </w:tc>
        <w:tc>
          <w:tcPr>
            <w:tcW w:w="3900" w:type="dxa"/>
            <w:tcMar>
              <w:top w:w="80" w:type="dxa"/>
              <w:left w:w="120" w:type="dxa"/>
              <w:bottom w:w="80" w:type="dxa"/>
              <w:right w:w="60" w:type="dxa"/>
            </w:tcMar>
          </w:tcPr>
          <w:p w14:paraId="2E1AEFD3">
            <w:r>
              <w:rPr>
                <w:color w:val="262626"/>
                <w:sz w:val="20"/>
                <w:szCs w:val="20"/>
              </w:rPr>
              <w:t>Attrition_Flag (Existing / Attrited Customer)</w:t>
            </w:r>
          </w:p>
        </w:tc>
      </w:tr>
      <w:tr w14:paraId="42214D92">
        <w:tblPrEx>
          <w:tblBorders>
            <w:top w:val="none" w:color="auto" w:sz="0" w:space="0"/>
            <w:left w:val="none" w:color="auto" w:sz="0" w:space="0"/>
            <w:bottom w:val="none" w:color="auto" w:sz="0" w:space="0"/>
            <w:right w:val="none" w:color="auto" w:sz="0" w:space="0"/>
            <w:insideH w:val="single" w:color="D9D9D9" w:sz="2" w:space="0"/>
            <w:insideV w:val="none" w:color="auto" w:sz="0" w:space="0"/>
          </w:tblBorders>
          <w:tblCellMar>
            <w:top w:w="0" w:type="dxa"/>
            <w:left w:w="10" w:type="dxa"/>
            <w:bottom w:w="0" w:type="dxa"/>
            <w:right w:w="10" w:type="dxa"/>
          </w:tblCellMar>
        </w:tblPrEx>
        <w:trPr>
          <w:jc w:val="center"/>
        </w:trPr>
        <w:tc>
          <w:tcPr>
            <w:tcW w:w="2600" w:type="dxa"/>
            <w:tcMar>
              <w:top w:w="80" w:type="dxa"/>
              <w:left w:w="60" w:type="dxa"/>
              <w:bottom w:w="80" w:type="dxa"/>
              <w:right w:w="120" w:type="dxa"/>
            </w:tcMar>
          </w:tcPr>
          <w:p w14:paraId="65B1A979">
            <w:r>
              <w:rPr>
                <w:b/>
                <w:bCs/>
                <w:color w:val="1F3864"/>
                <w:sz w:val="20"/>
                <w:szCs w:val="20"/>
              </w:rPr>
              <w:t>Best Model</w:t>
            </w:r>
          </w:p>
        </w:tc>
        <w:tc>
          <w:tcPr>
            <w:tcW w:w="3900" w:type="dxa"/>
            <w:tcMar>
              <w:top w:w="80" w:type="dxa"/>
              <w:left w:w="120" w:type="dxa"/>
              <w:bottom w:w="80" w:type="dxa"/>
              <w:right w:w="60" w:type="dxa"/>
            </w:tcMar>
          </w:tcPr>
          <w:p w14:paraId="646E7C81">
            <w:r>
              <w:rPr>
                <w:color w:val="262626"/>
                <w:sz w:val="20"/>
                <w:szCs w:val="20"/>
              </w:rPr>
              <w:t>Gradient Boosting Classifier</w:t>
            </w:r>
          </w:p>
        </w:tc>
      </w:tr>
      <w:tr w14:paraId="06DB32C8">
        <w:tblPrEx>
          <w:tblBorders>
            <w:top w:val="none" w:color="auto" w:sz="0" w:space="0"/>
            <w:left w:val="none" w:color="auto" w:sz="0" w:space="0"/>
            <w:bottom w:val="none" w:color="auto" w:sz="0" w:space="0"/>
            <w:right w:val="none" w:color="auto" w:sz="0" w:space="0"/>
            <w:insideH w:val="single" w:color="D9D9D9" w:sz="2" w:space="0"/>
            <w:insideV w:val="none" w:color="auto" w:sz="0" w:space="0"/>
          </w:tblBorders>
          <w:tblCellMar>
            <w:top w:w="0" w:type="dxa"/>
            <w:left w:w="10" w:type="dxa"/>
            <w:bottom w:w="0" w:type="dxa"/>
            <w:right w:w="10" w:type="dxa"/>
          </w:tblCellMar>
        </w:tblPrEx>
        <w:trPr>
          <w:jc w:val="center"/>
        </w:trPr>
        <w:tc>
          <w:tcPr>
            <w:tcW w:w="2600" w:type="dxa"/>
            <w:tcMar>
              <w:top w:w="80" w:type="dxa"/>
              <w:left w:w="60" w:type="dxa"/>
              <w:bottom w:w="80" w:type="dxa"/>
              <w:right w:w="120" w:type="dxa"/>
            </w:tcMar>
          </w:tcPr>
          <w:p w14:paraId="5787B640">
            <w:r>
              <w:rPr>
                <w:b/>
                <w:bCs/>
                <w:color w:val="1F3864"/>
                <w:sz w:val="20"/>
                <w:szCs w:val="20"/>
              </w:rPr>
              <w:t>Tools</w:t>
            </w:r>
          </w:p>
        </w:tc>
        <w:tc>
          <w:tcPr>
            <w:tcW w:w="3900" w:type="dxa"/>
            <w:tcMar>
              <w:top w:w="80" w:type="dxa"/>
              <w:left w:w="120" w:type="dxa"/>
              <w:bottom w:w="80" w:type="dxa"/>
              <w:right w:w="60" w:type="dxa"/>
            </w:tcMar>
          </w:tcPr>
          <w:p w14:paraId="04706663">
            <w:r>
              <w:rPr>
                <w:color w:val="262626"/>
                <w:sz w:val="20"/>
                <w:szCs w:val="20"/>
              </w:rPr>
              <w:t>Python, Scikit-learn, Pandas, NumPy, Matplotlib</w:t>
            </w:r>
          </w:p>
        </w:tc>
      </w:tr>
      <w:tr w14:paraId="03191FEA">
        <w:tblPrEx>
          <w:tblBorders>
            <w:top w:val="none" w:color="auto" w:sz="0" w:space="0"/>
            <w:left w:val="none" w:color="auto" w:sz="0" w:space="0"/>
            <w:bottom w:val="none" w:color="auto" w:sz="0" w:space="0"/>
            <w:right w:val="none" w:color="auto" w:sz="0" w:space="0"/>
            <w:insideH w:val="single" w:color="D9D9D9" w:sz="2" w:space="0"/>
            <w:insideV w:val="none" w:color="auto" w:sz="0" w:space="0"/>
          </w:tblBorders>
          <w:tblCellMar>
            <w:top w:w="0" w:type="dxa"/>
            <w:left w:w="10" w:type="dxa"/>
            <w:bottom w:w="0" w:type="dxa"/>
            <w:right w:w="10" w:type="dxa"/>
          </w:tblCellMar>
        </w:tblPrEx>
        <w:trPr>
          <w:jc w:val="center"/>
        </w:trPr>
        <w:tc>
          <w:tcPr>
            <w:tcW w:w="2600" w:type="dxa"/>
            <w:tcMar>
              <w:top w:w="80" w:type="dxa"/>
              <w:left w:w="60" w:type="dxa"/>
              <w:bottom w:w="80" w:type="dxa"/>
              <w:right w:w="120" w:type="dxa"/>
            </w:tcMar>
          </w:tcPr>
          <w:p w14:paraId="4F4A99C0">
            <w:r>
              <w:rPr>
                <w:b/>
                <w:bCs/>
                <w:color w:val="1F3864"/>
                <w:sz w:val="20"/>
                <w:szCs w:val="20"/>
              </w:rPr>
              <w:t>Platform</w:t>
            </w:r>
          </w:p>
        </w:tc>
        <w:tc>
          <w:tcPr>
            <w:tcW w:w="3900" w:type="dxa"/>
            <w:tcMar>
              <w:top w:w="80" w:type="dxa"/>
              <w:left w:w="120" w:type="dxa"/>
              <w:bottom w:w="80" w:type="dxa"/>
              <w:right w:w="60" w:type="dxa"/>
            </w:tcMar>
          </w:tcPr>
          <w:p w14:paraId="37AE4972">
            <w:r>
              <w:rPr>
                <w:color w:val="262626"/>
                <w:sz w:val="20"/>
                <w:szCs w:val="20"/>
              </w:rPr>
              <w:t>Google Colab</w:t>
            </w:r>
          </w:p>
        </w:tc>
      </w:tr>
    </w:tbl>
    <w:p w14:paraId="78407671">
      <w:pPr>
        <w:spacing w:before="2200"/>
      </w:pPr>
    </w:p>
    <w:p w14:paraId="4C8FB5F5"/>
    <w:p w14:paraId="56FB5516">
      <w:pPr>
        <w:pStyle w:val="2"/>
        <w:pBdr>
          <w:bottom w:val="single" w:color="2E74B5" w:sz="8" w:space="4"/>
        </w:pBdr>
        <w:spacing w:before="480" w:after="240"/>
      </w:pPr>
      <w:r>
        <w:rPr>
          <w:rFonts w:hint="default"/>
          <w:b/>
          <w:bCs/>
          <w:color w:val="1F3864"/>
          <w:sz w:val="30"/>
          <w:szCs w:val="30"/>
          <w:lang w:val="en-IN"/>
        </w:rPr>
        <w:t>1</w:t>
      </w:r>
      <w:r>
        <w:rPr>
          <w:b/>
          <w:bCs/>
          <w:color w:val="1F3864"/>
          <w:sz w:val="30"/>
          <w:szCs w:val="30"/>
        </w:rPr>
        <w:t>. Executive Summary</w:t>
      </w:r>
    </w:p>
    <w:p w14:paraId="54A5E0BE">
      <w:pPr>
        <w:spacing w:after="160" w:line="276" w:lineRule="auto"/>
        <w:jc w:val="both"/>
      </w:pPr>
      <w:r>
        <w:rPr>
          <w:b w:val="0"/>
          <w:bCs w:val="0"/>
          <w:i w:val="0"/>
          <w:iCs w:val="0"/>
          <w:color w:val="262626"/>
          <w:sz w:val="22"/>
          <w:szCs w:val="22"/>
        </w:rPr>
        <w:t>This project develops a machine learning solution to predict customer churn (attrition) for a credit card business, using the publicly available Kaggle BankChurners (Credit Card Customers) dataset. The dataset contains 10,127 customer records with 23 original attributes, of which 16.07% of customers had churned (Attrited Customer) at the time the data was collected.</w:t>
      </w:r>
    </w:p>
    <w:p w14:paraId="2B012893">
      <w:pPr>
        <w:spacing w:after="160" w:line="276" w:lineRule="auto"/>
        <w:jc w:val="both"/>
      </w:pPr>
      <w:r>
        <w:rPr>
          <w:b w:val="0"/>
          <w:bCs w:val="0"/>
          <w:i w:val="0"/>
          <w:iCs w:val="0"/>
          <w:color w:val="262626"/>
          <w:sz w:val="22"/>
          <w:szCs w:val="22"/>
        </w:rPr>
        <w:t>Three classification models were trained and evaluated — Logistic Regression, Random Forest, and Gradient Boosting — using a structured pipeline covering data cleaning, feature engineering, preprocessing, and 5-fold stratified cross-validation. The Gradient Boosting classifier delivered the strongest performance on the held-out test set, achieving 96.45% accuracy, 95.02% precision, 82.15% recall, an F1-score of 88.12%, and a ROC-AUC of 99.10%.</w:t>
      </w:r>
    </w:p>
    <w:p w14:paraId="42F1A7E3">
      <w:pPr>
        <w:spacing w:after="160" w:line="276" w:lineRule="auto"/>
        <w:jc w:val="both"/>
      </w:pPr>
      <w:r>
        <w:rPr>
          <w:b w:val="0"/>
          <w:bCs w:val="0"/>
          <w:i w:val="0"/>
          <w:iCs w:val="0"/>
          <w:color w:val="262626"/>
          <w:sz w:val="22"/>
          <w:szCs w:val="22"/>
        </w:rPr>
        <w:t>Beyond model performance, the project identifies the transaction-related behavior of customers — particularly total transaction count, revolving balance, and total transaction amount — as the strongest predictors of churn, offering actionable insight for a targeted customer-retention strategy. A working prediction demonstration confirms the model's ability to distinguish low-risk from high-risk customers with a clear probability margin.</w:t>
      </w:r>
    </w:p>
    <w:p w14:paraId="7A6EB804">
      <w:pPr>
        <w:pStyle w:val="2"/>
        <w:pBdr>
          <w:bottom w:val="single" w:color="2E74B5" w:sz="8" w:space="4"/>
        </w:pBdr>
        <w:spacing w:before="480" w:after="240"/>
      </w:pPr>
      <w:r>
        <w:rPr>
          <w:rFonts w:hint="default"/>
          <w:b/>
          <w:bCs/>
          <w:color w:val="1F3864"/>
          <w:sz w:val="30"/>
          <w:szCs w:val="30"/>
          <w:lang w:val="en-IN"/>
        </w:rPr>
        <w:t>2</w:t>
      </w:r>
      <w:r>
        <w:rPr>
          <w:b/>
          <w:bCs/>
          <w:color w:val="1F3864"/>
          <w:sz w:val="30"/>
          <w:szCs w:val="30"/>
        </w:rPr>
        <w:t>. Introduction / Task Overview</w:t>
      </w:r>
    </w:p>
    <w:p w14:paraId="05157B1C">
      <w:pPr>
        <w:spacing w:after="160" w:line="276" w:lineRule="auto"/>
        <w:jc w:val="both"/>
      </w:pPr>
      <w:r>
        <w:rPr>
          <w:b w:val="0"/>
          <w:bCs w:val="0"/>
          <w:i w:val="0"/>
          <w:iCs w:val="0"/>
          <w:color w:val="262626"/>
          <w:sz w:val="22"/>
          <w:szCs w:val="22"/>
        </w:rPr>
        <w:t>Customer attrition, or churn, is one of the most pressing challenges faced by banks and financial institutions offering credit card services. Acquiring a new customer is significantly more expensive than retaining an existing one, which makes early identification of at-risk customers a high-value business capability.</w:t>
      </w:r>
    </w:p>
    <w:p w14:paraId="758DD308">
      <w:pPr>
        <w:spacing w:after="160" w:line="276" w:lineRule="auto"/>
        <w:jc w:val="both"/>
      </w:pPr>
      <w:r>
        <w:rPr>
          <w:b w:val="0"/>
          <w:bCs w:val="0"/>
          <w:i w:val="0"/>
          <w:iCs w:val="0"/>
          <w:color w:val="262626"/>
          <w:sz w:val="22"/>
          <w:szCs w:val="22"/>
        </w:rPr>
        <w:t>This project frames churn prediction as a binary classification task: given a customer's demographic, account, and transaction-behavior attributes, predict whether that customer is likely to remain an Existing Customer or become an Attrited Customer. The task was carried out as a complete, end-to-end machine learning workflow — from raw data inspection through to model deployment-style prediction on new customer records.</w:t>
      </w:r>
    </w:p>
    <w:p w14:paraId="26C56869">
      <w:pPr>
        <w:pStyle w:val="2"/>
        <w:pBdr>
          <w:bottom w:val="single" w:color="2E74B5" w:sz="8" w:space="4"/>
        </w:pBdr>
        <w:spacing w:before="480" w:after="240"/>
      </w:pPr>
      <w:r>
        <w:rPr>
          <w:rFonts w:hint="default"/>
          <w:b/>
          <w:bCs/>
          <w:color w:val="1F3864"/>
          <w:sz w:val="30"/>
          <w:szCs w:val="30"/>
          <w:lang w:val="en-IN"/>
        </w:rPr>
        <w:t>3</w:t>
      </w:r>
      <w:r>
        <w:rPr>
          <w:b/>
          <w:bCs/>
          <w:color w:val="1F3864"/>
          <w:sz w:val="30"/>
          <w:szCs w:val="30"/>
        </w:rPr>
        <w:t>. Objectives</w:t>
      </w:r>
    </w:p>
    <w:p w14:paraId="7F8B64D1">
      <w:pPr>
        <w:pStyle w:val="16"/>
        <w:numPr>
          <w:ilvl w:val="0"/>
          <w:numId w:val="1"/>
        </w:numPr>
        <w:spacing w:after="100"/>
      </w:pPr>
      <w:r>
        <w:rPr>
          <w:color w:val="262626"/>
          <w:sz w:val="22"/>
          <w:szCs w:val="22"/>
        </w:rPr>
        <w:t>Analyze the BankChurners dataset to understand customer demographics, account characteristics, and transaction behavior patterns.</w:t>
      </w:r>
    </w:p>
    <w:p w14:paraId="377585A9">
      <w:pPr>
        <w:pStyle w:val="16"/>
        <w:numPr>
          <w:ilvl w:val="0"/>
          <w:numId w:val="1"/>
        </w:numPr>
        <w:spacing w:after="100"/>
      </w:pPr>
      <w:r>
        <w:rPr>
          <w:color w:val="262626"/>
          <w:sz w:val="22"/>
          <w:szCs w:val="22"/>
        </w:rPr>
        <w:t>Engineer meaningful behavioral features that improve the predictive signal available to the models.</w:t>
      </w:r>
    </w:p>
    <w:p w14:paraId="6129ACB0">
      <w:pPr>
        <w:pStyle w:val="16"/>
        <w:numPr>
          <w:ilvl w:val="0"/>
          <w:numId w:val="1"/>
        </w:numPr>
        <w:spacing w:after="100"/>
      </w:pPr>
      <w:r>
        <w:rPr>
          <w:color w:val="262626"/>
          <w:sz w:val="22"/>
          <w:szCs w:val="22"/>
        </w:rPr>
        <w:t>Build and compare multiple machine learning classifiers for churn prediction.</w:t>
      </w:r>
    </w:p>
    <w:p w14:paraId="1F65B913">
      <w:pPr>
        <w:pStyle w:val="16"/>
        <w:numPr>
          <w:ilvl w:val="0"/>
          <w:numId w:val="1"/>
        </w:numPr>
        <w:spacing w:after="100"/>
      </w:pPr>
      <w:r>
        <w:rPr>
          <w:color w:val="262626"/>
          <w:sz w:val="22"/>
          <w:szCs w:val="22"/>
        </w:rPr>
        <w:t>Evaluate model performance using metrics appropriate for an imbalanced classification problem (precision, recall, F1-score, ROC-AUC), not accuracy alone.</w:t>
      </w:r>
    </w:p>
    <w:p w14:paraId="124F4C09">
      <w:pPr>
        <w:pStyle w:val="16"/>
        <w:numPr>
          <w:ilvl w:val="0"/>
          <w:numId w:val="1"/>
        </w:numPr>
        <w:spacing w:after="100"/>
      </w:pPr>
      <w:r>
        <w:rPr>
          <w:color w:val="262626"/>
          <w:sz w:val="22"/>
          <w:szCs w:val="22"/>
        </w:rPr>
        <w:t>Interpret the best-performing model to identify the key drivers of customer churn.</w:t>
      </w:r>
    </w:p>
    <w:p w14:paraId="694E7BD4">
      <w:pPr>
        <w:pStyle w:val="16"/>
        <w:numPr>
          <w:ilvl w:val="0"/>
          <w:numId w:val="1"/>
        </w:numPr>
        <w:spacing w:after="100"/>
      </w:pPr>
      <w:r>
        <w:rPr>
          <w:color w:val="262626"/>
          <w:sz w:val="22"/>
          <w:szCs w:val="22"/>
        </w:rPr>
        <w:t>Demonstrate the model's practical use by predicting churn risk for individual sample customers.</w:t>
      </w:r>
    </w:p>
    <w:p w14:paraId="10B7A110">
      <w:pPr>
        <w:pStyle w:val="2"/>
        <w:pBdr>
          <w:bottom w:val="single" w:color="2E74B5" w:sz="8" w:space="4"/>
        </w:pBdr>
        <w:spacing w:before="480" w:after="240"/>
      </w:pPr>
      <w:r>
        <w:rPr>
          <w:rFonts w:hint="default"/>
          <w:b/>
          <w:bCs/>
          <w:color w:val="1F3864"/>
          <w:sz w:val="30"/>
          <w:szCs w:val="30"/>
          <w:lang w:val="en-IN"/>
        </w:rPr>
        <w:t>4</w:t>
      </w:r>
      <w:r>
        <w:rPr>
          <w:b/>
          <w:bCs/>
          <w:color w:val="1F3864"/>
          <w:sz w:val="30"/>
          <w:szCs w:val="30"/>
        </w:rPr>
        <w:t>. Business Problem</w:t>
      </w:r>
    </w:p>
    <w:p w14:paraId="7D8D529B">
      <w:pPr>
        <w:spacing w:after="160" w:line="276" w:lineRule="auto"/>
        <w:jc w:val="both"/>
      </w:pPr>
      <w:r>
        <w:rPr>
          <w:b w:val="0"/>
          <w:bCs w:val="0"/>
          <w:i w:val="0"/>
          <w:iCs w:val="0"/>
          <w:color w:val="262626"/>
          <w:sz w:val="22"/>
          <w:szCs w:val="22"/>
        </w:rPr>
        <w:t>Credit card issuers lose recurring interest, fee, and transaction revenue whenever a customer closes or stops using their account. Retention teams typically have limited resources, so blanket retention campaigns targeting the entire customer base are inefficient and costly.</w:t>
      </w:r>
    </w:p>
    <w:p w14:paraId="11331692">
      <w:pPr>
        <w:spacing w:after="160" w:line="276" w:lineRule="auto"/>
        <w:jc w:val="both"/>
      </w:pPr>
      <w:r>
        <w:rPr>
          <w:b w:val="0"/>
          <w:bCs w:val="0"/>
          <w:i w:val="0"/>
          <w:iCs w:val="0"/>
          <w:color w:val="262626"/>
          <w:sz w:val="22"/>
          <w:szCs w:val="22"/>
        </w:rPr>
        <w:t>The core business problem addressed by this project is: how can the bank identify, in advance, which customers are at meaningful risk of attrition, so retention efforts (offers, outreach, relationship management) can be prioritized toward the customers most likely to leave, and away from customers who are not at risk?</w:t>
      </w:r>
    </w:p>
    <w:tbl>
      <w:tblPr>
        <w:tblStyle w:val="9"/>
        <w:tblW w:w="5000" w:type="pct"/>
        <w:tblInd w:w="0" w:type="dxa"/>
        <w:tblBorders>
          <w:top w:val="single" w:color="2E74B5" w:sz="6" w:space="0"/>
          <w:left w:val="single" w:color="2E74B5" w:sz="6" w:space="0"/>
          <w:bottom w:val="single" w:color="2E74B5" w:sz="6" w:space="0"/>
          <w:right w:val="single" w:color="2E74B5" w:sz="6" w:space="0"/>
          <w:insideH w:val="single" w:color="2E74B5" w:sz="6" w:space="0"/>
          <w:insideV w:val="single" w:color="2E74B5" w:sz="6" w:space="0"/>
        </w:tblBorders>
        <w:tblLayout w:type="autofit"/>
        <w:tblCellMar>
          <w:top w:w="0" w:type="dxa"/>
          <w:left w:w="10" w:type="dxa"/>
          <w:bottom w:w="0" w:type="dxa"/>
          <w:right w:w="10" w:type="dxa"/>
        </w:tblCellMar>
      </w:tblPr>
      <w:tblGrid>
        <w:gridCol w:w="9720"/>
      </w:tblGrid>
      <w:tr w14:paraId="56D8AF59">
        <w:tblPrEx>
          <w:tblBorders>
            <w:top w:val="single" w:color="2E74B5" w:sz="6" w:space="0"/>
            <w:left w:val="single" w:color="2E74B5" w:sz="6" w:space="0"/>
            <w:bottom w:val="single" w:color="2E74B5" w:sz="6" w:space="0"/>
            <w:right w:val="single" w:color="2E74B5" w:sz="6" w:space="0"/>
            <w:insideH w:val="single" w:color="2E74B5" w:sz="6" w:space="0"/>
            <w:insideV w:val="single" w:color="2E74B5" w:sz="6" w:space="0"/>
          </w:tblBorders>
          <w:tblCellMar>
            <w:top w:w="0" w:type="dxa"/>
            <w:left w:w="10" w:type="dxa"/>
            <w:bottom w:w="0" w:type="dxa"/>
            <w:right w:w="10" w:type="dxa"/>
          </w:tblCellMar>
        </w:tblPrEx>
        <w:tc>
          <w:tcPr>
            <w:shd w:val="clear" w:color="auto" w:fill="EAF1FB"/>
            <w:tcMar>
              <w:top w:w="140" w:type="dxa"/>
              <w:left w:w="180" w:type="dxa"/>
              <w:bottom w:w="140" w:type="dxa"/>
              <w:right w:w="180" w:type="dxa"/>
            </w:tcMar>
          </w:tcPr>
          <w:p w14:paraId="5635ADFD">
            <w:r>
              <w:rPr>
                <w:b/>
                <w:bCs/>
                <w:color w:val="1F3864"/>
                <w:sz w:val="20"/>
                <w:szCs w:val="20"/>
              </w:rPr>
              <w:t xml:space="preserve">Note: </w:t>
            </w:r>
            <w:r>
              <w:rPr>
                <w:i/>
                <w:iCs/>
                <w:color w:val="262626"/>
                <w:sz w:val="20"/>
                <w:szCs w:val="20"/>
              </w:rPr>
              <w:t>A reliable churn-probability score allows the business to rank customers by risk and allocate retention budget accordingly, rather than treating all customers uniformly.</w:t>
            </w:r>
          </w:p>
        </w:tc>
      </w:tr>
    </w:tbl>
    <w:p w14:paraId="3ADDFE99">
      <w:pPr>
        <w:pStyle w:val="2"/>
        <w:pBdr>
          <w:bottom w:val="single" w:color="2E74B5" w:sz="8" w:space="4"/>
        </w:pBdr>
        <w:spacing w:before="480" w:after="240"/>
      </w:pPr>
      <w:r>
        <w:rPr>
          <w:rFonts w:hint="default"/>
          <w:b/>
          <w:bCs/>
          <w:color w:val="1F3864"/>
          <w:sz w:val="30"/>
          <w:szCs w:val="30"/>
          <w:lang w:val="en-IN"/>
        </w:rPr>
        <w:t>5</w:t>
      </w:r>
      <w:r>
        <w:rPr>
          <w:b/>
          <w:bCs/>
          <w:color w:val="1F3864"/>
          <w:sz w:val="30"/>
          <w:szCs w:val="30"/>
        </w:rPr>
        <w:t>. Dataset Description</w:t>
      </w:r>
    </w:p>
    <w:p w14:paraId="794302C9">
      <w:pPr>
        <w:spacing w:after="160" w:line="276" w:lineRule="auto"/>
        <w:jc w:val="both"/>
      </w:pPr>
      <w:r>
        <w:rPr>
          <w:b w:val="0"/>
          <w:bCs w:val="0"/>
          <w:i w:val="0"/>
          <w:iCs w:val="0"/>
          <w:color w:val="262626"/>
          <w:sz w:val="22"/>
          <w:szCs w:val="22"/>
        </w:rPr>
        <w:t>The project uses the BankChurners dataset (Credit Card Customers), sourced from Kaggle. It contains anonymized customer-level records combining demographic information, account attributes, and card-usage behavior.</w:t>
      </w:r>
    </w:p>
    <w:p w14:paraId="1B029D27">
      <w:pPr>
        <w:pStyle w:val="3"/>
        <w:spacing w:before="300" w:after="160"/>
      </w:pPr>
      <w:r>
        <w:rPr>
          <w:rFonts w:hint="default"/>
          <w:b/>
          <w:bCs/>
          <w:color w:val="2E74B5"/>
          <w:sz w:val="24"/>
          <w:szCs w:val="24"/>
          <w:lang w:val="en-IN"/>
        </w:rPr>
        <w:t>5</w:t>
      </w:r>
      <w:r>
        <w:rPr>
          <w:b/>
          <w:bCs/>
          <w:color w:val="2E74B5"/>
          <w:sz w:val="24"/>
          <w:szCs w:val="24"/>
        </w:rPr>
        <w:t>.1 Dataset Overview</w:t>
      </w:r>
    </w:p>
    <w:tbl>
      <w:tblPr>
        <w:tblStyle w:val="9"/>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200"/>
        <w:gridCol w:w="6160"/>
      </w:tblGrid>
      <w:tr w14:paraId="76C14E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200" w:type="dxa"/>
            <w:shd w:val="clear" w:color="auto" w:fill="1F3864"/>
            <w:tcMar>
              <w:top w:w="100" w:type="dxa"/>
              <w:left w:w="120" w:type="dxa"/>
              <w:bottom w:w="100" w:type="dxa"/>
              <w:right w:w="120" w:type="dxa"/>
            </w:tcMar>
            <w:vAlign w:val="center"/>
          </w:tcPr>
          <w:p w14:paraId="5EF538DC">
            <w:pPr>
              <w:jc w:val="left"/>
            </w:pPr>
            <w:r>
              <w:rPr>
                <w:b/>
                <w:bCs/>
                <w:color w:val="FFFFFF"/>
                <w:sz w:val="20"/>
                <w:szCs w:val="20"/>
              </w:rPr>
              <w:t>Attribute</w:t>
            </w:r>
          </w:p>
        </w:tc>
        <w:tc>
          <w:tcPr>
            <w:tcW w:w="6160" w:type="dxa"/>
            <w:shd w:val="clear" w:color="auto" w:fill="1F3864"/>
            <w:tcMar>
              <w:top w:w="100" w:type="dxa"/>
              <w:left w:w="120" w:type="dxa"/>
              <w:bottom w:w="100" w:type="dxa"/>
              <w:right w:w="120" w:type="dxa"/>
            </w:tcMar>
            <w:vAlign w:val="center"/>
          </w:tcPr>
          <w:p w14:paraId="1E58548D">
            <w:pPr>
              <w:jc w:val="center"/>
            </w:pPr>
            <w:r>
              <w:rPr>
                <w:b/>
                <w:bCs/>
                <w:color w:val="FFFFFF"/>
                <w:sz w:val="20"/>
                <w:szCs w:val="20"/>
              </w:rPr>
              <w:t>Value</w:t>
            </w:r>
          </w:p>
        </w:tc>
      </w:tr>
      <w:tr w14:paraId="3FA7CA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28CCF0E7">
            <w:pPr>
              <w:jc w:val="left"/>
            </w:pPr>
            <w:r>
              <w:rPr>
                <w:b w:val="0"/>
                <w:bCs w:val="0"/>
                <w:color w:val="262626"/>
                <w:sz w:val="20"/>
                <w:szCs w:val="20"/>
              </w:rPr>
              <w:t>Source</w:t>
            </w:r>
          </w:p>
        </w:tc>
        <w:tc>
          <w:tcPr>
            <w:tcW w:w="6160" w:type="dxa"/>
            <w:tcMar>
              <w:top w:w="100" w:type="dxa"/>
              <w:left w:w="120" w:type="dxa"/>
              <w:bottom w:w="100" w:type="dxa"/>
              <w:right w:w="120" w:type="dxa"/>
            </w:tcMar>
            <w:vAlign w:val="center"/>
          </w:tcPr>
          <w:p w14:paraId="7449F947">
            <w:pPr>
              <w:jc w:val="center"/>
            </w:pPr>
            <w:r>
              <w:rPr>
                <w:b w:val="0"/>
                <w:bCs w:val="0"/>
                <w:color w:val="262626"/>
                <w:sz w:val="20"/>
                <w:szCs w:val="20"/>
              </w:rPr>
              <w:t>Kaggle — BankChurners / Credit Card Customers dataset</w:t>
            </w:r>
          </w:p>
        </w:tc>
      </w:tr>
      <w:tr w14:paraId="0CBF28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6FB"/>
            <w:tcMar>
              <w:top w:w="100" w:type="dxa"/>
              <w:left w:w="120" w:type="dxa"/>
              <w:bottom w:w="100" w:type="dxa"/>
              <w:right w:w="120" w:type="dxa"/>
            </w:tcMar>
            <w:vAlign w:val="center"/>
          </w:tcPr>
          <w:p w14:paraId="37326AA9">
            <w:pPr>
              <w:jc w:val="left"/>
            </w:pPr>
            <w:r>
              <w:rPr>
                <w:b w:val="0"/>
                <w:bCs w:val="0"/>
                <w:color w:val="262626"/>
                <w:sz w:val="20"/>
                <w:szCs w:val="20"/>
              </w:rPr>
              <w:t>Total Records</w:t>
            </w:r>
          </w:p>
        </w:tc>
        <w:tc>
          <w:tcPr>
            <w:tcW w:w="6160" w:type="dxa"/>
            <w:shd w:val="clear" w:color="auto" w:fill="F2F6FB"/>
            <w:tcMar>
              <w:top w:w="100" w:type="dxa"/>
              <w:left w:w="120" w:type="dxa"/>
              <w:bottom w:w="100" w:type="dxa"/>
              <w:right w:w="120" w:type="dxa"/>
            </w:tcMar>
            <w:vAlign w:val="center"/>
          </w:tcPr>
          <w:p w14:paraId="5B827739">
            <w:pPr>
              <w:jc w:val="center"/>
            </w:pPr>
            <w:r>
              <w:rPr>
                <w:b w:val="0"/>
                <w:bCs w:val="0"/>
                <w:color w:val="262626"/>
                <w:sz w:val="20"/>
                <w:szCs w:val="20"/>
              </w:rPr>
              <w:t>10,127</w:t>
            </w:r>
          </w:p>
        </w:tc>
      </w:tr>
      <w:tr w14:paraId="02950B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42B34D92">
            <w:pPr>
              <w:jc w:val="left"/>
            </w:pPr>
            <w:r>
              <w:rPr>
                <w:b w:val="0"/>
                <w:bCs w:val="0"/>
                <w:color w:val="262626"/>
                <w:sz w:val="20"/>
                <w:szCs w:val="20"/>
              </w:rPr>
              <w:t>Original Columns</w:t>
            </w:r>
          </w:p>
        </w:tc>
        <w:tc>
          <w:tcPr>
            <w:tcW w:w="6160" w:type="dxa"/>
            <w:tcMar>
              <w:top w:w="100" w:type="dxa"/>
              <w:left w:w="120" w:type="dxa"/>
              <w:bottom w:w="100" w:type="dxa"/>
              <w:right w:w="120" w:type="dxa"/>
            </w:tcMar>
            <w:vAlign w:val="center"/>
          </w:tcPr>
          <w:p w14:paraId="62F71314">
            <w:pPr>
              <w:jc w:val="center"/>
            </w:pPr>
            <w:r>
              <w:rPr>
                <w:b w:val="0"/>
                <w:bCs w:val="0"/>
                <w:color w:val="262626"/>
                <w:sz w:val="20"/>
                <w:szCs w:val="20"/>
              </w:rPr>
              <w:t>23</w:t>
            </w:r>
          </w:p>
        </w:tc>
      </w:tr>
      <w:tr w14:paraId="1EA647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6FB"/>
            <w:tcMar>
              <w:top w:w="100" w:type="dxa"/>
              <w:left w:w="120" w:type="dxa"/>
              <w:bottom w:w="100" w:type="dxa"/>
              <w:right w:w="120" w:type="dxa"/>
            </w:tcMar>
            <w:vAlign w:val="center"/>
          </w:tcPr>
          <w:p w14:paraId="6769BDC8">
            <w:pPr>
              <w:jc w:val="left"/>
            </w:pPr>
            <w:r>
              <w:rPr>
                <w:b w:val="0"/>
                <w:bCs w:val="0"/>
                <w:color w:val="262626"/>
                <w:sz w:val="20"/>
                <w:szCs w:val="20"/>
              </w:rPr>
              <w:t>Target Variable</w:t>
            </w:r>
          </w:p>
        </w:tc>
        <w:tc>
          <w:tcPr>
            <w:tcW w:w="6160" w:type="dxa"/>
            <w:shd w:val="clear" w:color="auto" w:fill="F2F6FB"/>
            <w:tcMar>
              <w:top w:w="100" w:type="dxa"/>
              <w:left w:w="120" w:type="dxa"/>
              <w:bottom w:w="100" w:type="dxa"/>
              <w:right w:w="120" w:type="dxa"/>
            </w:tcMar>
            <w:vAlign w:val="center"/>
          </w:tcPr>
          <w:p w14:paraId="1FD21336">
            <w:pPr>
              <w:jc w:val="center"/>
            </w:pPr>
            <w:r>
              <w:rPr>
                <w:b w:val="0"/>
                <w:bCs w:val="0"/>
                <w:color w:val="262626"/>
                <w:sz w:val="20"/>
                <w:szCs w:val="20"/>
              </w:rPr>
              <w:t>Attrition_Flag</w:t>
            </w:r>
          </w:p>
        </w:tc>
      </w:tr>
      <w:tr w14:paraId="2118E1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7BDBA574">
            <w:pPr>
              <w:jc w:val="left"/>
            </w:pPr>
            <w:r>
              <w:rPr>
                <w:b w:val="0"/>
                <w:bCs w:val="0"/>
                <w:color w:val="262626"/>
                <w:sz w:val="20"/>
                <w:szCs w:val="20"/>
              </w:rPr>
              <w:t>Target Classes</w:t>
            </w:r>
          </w:p>
        </w:tc>
        <w:tc>
          <w:tcPr>
            <w:tcW w:w="6160" w:type="dxa"/>
            <w:tcMar>
              <w:top w:w="100" w:type="dxa"/>
              <w:left w:w="120" w:type="dxa"/>
              <w:bottom w:w="100" w:type="dxa"/>
              <w:right w:w="120" w:type="dxa"/>
            </w:tcMar>
            <w:vAlign w:val="center"/>
          </w:tcPr>
          <w:p w14:paraId="5CDDC5A0">
            <w:pPr>
              <w:jc w:val="center"/>
            </w:pPr>
            <w:r>
              <w:rPr>
                <w:b w:val="0"/>
                <w:bCs w:val="0"/>
                <w:color w:val="262626"/>
                <w:sz w:val="20"/>
                <w:szCs w:val="20"/>
              </w:rPr>
              <w:t>Existing Customer, Attrited Customer</w:t>
            </w:r>
          </w:p>
        </w:tc>
      </w:tr>
      <w:tr w14:paraId="16874A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6FB"/>
            <w:tcMar>
              <w:top w:w="100" w:type="dxa"/>
              <w:left w:w="120" w:type="dxa"/>
              <w:bottom w:w="100" w:type="dxa"/>
              <w:right w:w="120" w:type="dxa"/>
            </w:tcMar>
            <w:vAlign w:val="center"/>
          </w:tcPr>
          <w:p w14:paraId="2778C735">
            <w:pPr>
              <w:jc w:val="left"/>
            </w:pPr>
            <w:r>
              <w:rPr>
                <w:b w:val="0"/>
                <w:bCs w:val="0"/>
                <w:color w:val="262626"/>
                <w:sz w:val="20"/>
                <w:szCs w:val="20"/>
              </w:rPr>
              <w:t>Identifier Column</w:t>
            </w:r>
          </w:p>
        </w:tc>
        <w:tc>
          <w:tcPr>
            <w:tcW w:w="6160" w:type="dxa"/>
            <w:shd w:val="clear" w:color="auto" w:fill="F2F6FB"/>
            <w:tcMar>
              <w:top w:w="100" w:type="dxa"/>
              <w:left w:w="120" w:type="dxa"/>
              <w:bottom w:w="100" w:type="dxa"/>
              <w:right w:w="120" w:type="dxa"/>
            </w:tcMar>
            <w:vAlign w:val="center"/>
          </w:tcPr>
          <w:p w14:paraId="32E1F727">
            <w:pPr>
              <w:jc w:val="center"/>
            </w:pPr>
            <w:r>
              <w:rPr>
                <w:b w:val="0"/>
                <w:bCs w:val="0"/>
                <w:color w:val="262626"/>
                <w:sz w:val="20"/>
                <w:szCs w:val="20"/>
              </w:rPr>
              <w:t>CLIENTNUM (removed prior to modeling)</w:t>
            </w:r>
          </w:p>
        </w:tc>
      </w:tr>
    </w:tbl>
    <w:p w14:paraId="301EFC93">
      <w:pPr>
        <w:spacing w:before="240"/>
      </w:pPr>
    </w:p>
    <w:p w14:paraId="50ED6A20">
      <w:pPr>
        <w:pStyle w:val="3"/>
        <w:spacing w:before="300" w:after="160"/>
      </w:pPr>
      <w:r>
        <w:rPr>
          <w:rFonts w:hint="default"/>
          <w:b/>
          <w:bCs/>
          <w:color w:val="2E74B5"/>
          <w:sz w:val="24"/>
          <w:szCs w:val="24"/>
          <w:lang w:val="en-IN"/>
        </w:rPr>
        <w:t>5</w:t>
      </w:r>
      <w:r>
        <w:rPr>
          <w:b/>
          <w:bCs/>
          <w:color w:val="2E74B5"/>
          <w:sz w:val="24"/>
          <w:szCs w:val="24"/>
        </w:rPr>
        <w:t>.2 Target Class Distribution</w:t>
      </w:r>
    </w:p>
    <w:p w14:paraId="54836DFB">
      <w:pPr>
        <w:spacing w:after="160" w:line="276" w:lineRule="auto"/>
        <w:jc w:val="both"/>
      </w:pPr>
      <w:r>
        <w:rPr>
          <w:b w:val="0"/>
          <w:bCs w:val="0"/>
          <w:i w:val="0"/>
          <w:iCs w:val="0"/>
          <w:color w:val="262626"/>
          <w:sz w:val="22"/>
          <w:szCs w:val="22"/>
        </w:rPr>
        <w:t>The dataset is notably imbalanced, with the majority of customers belonging to the Existing Customer class:</w:t>
      </w:r>
    </w:p>
    <w:tbl>
      <w:tblPr>
        <w:tblStyle w:val="9"/>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800"/>
        <w:gridCol w:w="2900"/>
        <w:gridCol w:w="2660"/>
      </w:tblGrid>
      <w:tr w14:paraId="2B878B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800" w:type="dxa"/>
            <w:shd w:val="clear" w:color="auto" w:fill="1F3864"/>
            <w:tcMar>
              <w:top w:w="100" w:type="dxa"/>
              <w:left w:w="120" w:type="dxa"/>
              <w:bottom w:w="100" w:type="dxa"/>
              <w:right w:w="120" w:type="dxa"/>
            </w:tcMar>
            <w:vAlign w:val="center"/>
          </w:tcPr>
          <w:p w14:paraId="30A7D802">
            <w:pPr>
              <w:jc w:val="left"/>
            </w:pPr>
            <w:r>
              <w:rPr>
                <w:b/>
                <w:bCs/>
                <w:color w:val="FFFFFF"/>
                <w:sz w:val="20"/>
                <w:szCs w:val="20"/>
              </w:rPr>
              <w:t>Class</w:t>
            </w:r>
          </w:p>
        </w:tc>
        <w:tc>
          <w:tcPr>
            <w:tcW w:w="2900" w:type="dxa"/>
            <w:shd w:val="clear" w:color="auto" w:fill="1F3864"/>
            <w:tcMar>
              <w:top w:w="100" w:type="dxa"/>
              <w:left w:w="120" w:type="dxa"/>
              <w:bottom w:w="100" w:type="dxa"/>
              <w:right w:w="120" w:type="dxa"/>
            </w:tcMar>
            <w:vAlign w:val="center"/>
          </w:tcPr>
          <w:p w14:paraId="55FCEFCC">
            <w:pPr>
              <w:jc w:val="center"/>
            </w:pPr>
            <w:r>
              <w:rPr>
                <w:b/>
                <w:bCs/>
                <w:color w:val="FFFFFF"/>
                <w:sz w:val="20"/>
                <w:szCs w:val="20"/>
              </w:rPr>
              <w:t>Count</w:t>
            </w:r>
          </w:p>
        </w:tc>
        <w:tc>
          <w:tcPr>
            <w:tcW w:w="2660" w:type="dxa"/>
            <w:shd w:val="clear" w:color="auto" w:fill="1F3864"/>
            <w:tcMar>
              <w:top w:w="100" w:type="dxa"/>
              <w:left w:w="120" w:type="dxa"/>
              <w:bottom w:w="100" w:type="dxa"/>
              <w:right w:w="120" w:type="dxa"/>
            </w:tcMar>
            <w:vAlign w:val="center"/>
          </w:tcPr>
          <w:p w14:paraId="2F629D71">
            <w:pPr>
              <w:jc w:val="center"/>
            </w:pPr>
            <w:r>
              <w:rPr>
                <w:b/>
                <w:bCs/>
                <w:color w:val="FFFFFF"/>
                <w:sz w:val="20"/>
                <w:szCs w:val="20"/>
              </w:rPr>
              <w:t>Percentage</w:t>
            </w:r>
          </w:p>
        </w:tc>
      </w:tr>
      <w:tr w14:paraId="4CC2E0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00" w:type="dxa"/>
            <w:tcMar>
              <w:top w:w="100" w:type="dxa"/>
              <w:left w:w="120" w:type="dxa"/>
              <w:bottom w:w="100" w:type="dxa"/>
              <w:right w:w="120" w:type="dxa"/>
            </w:tcMar>
            <w:vAlign w:val="center"/>
          </w:tcPr>
          <w:p w14:paraId="07EC47A6">
            <w:pPr>
              <w:jc w:val="left"/>
            </w:pPr>
            <w:r>
              <w:rPr>
                <w:b w:val="0"/>
                <w:bCs w:val="0"/>
                <w:color w:val="262626"/>
                <w:sz w:val="20"/>
                <w:szCs w:val="20"/>
              </w:rPr>
              <w:t>Existing Customer</w:t>
            </w:r>
          </w:p>
        </w:tc>
        <w:tc>
          <w:tcPr>
            <w:tcW w:w="2900" w:type="dxa"/>
            <w:tcMar>
              <w:top w:w="100" w:type="dxa"/>
              <w:left w:w="120" w:type="dxa"/>
              <w:bottom w:w="100" w:type="dxa"/>
              <w:right w:w="120" w:type="dxa"/>
            </w:tcMar>
            <w:vAlign w:val="center"/>
          </w:tcPr>
          <w:p w14:paraId="4D7CE9FF">
            <w:pPr>
              <w:jc w:val="center"/>
            </w:pPr>
            <w:r>
              <w:rPr>
                <w:b w:val="0"/>
                <w:bCs w:val="0"/>
                <w:color w:val="262626"/>
                <w:sz w:val="20"/>
                <w:szCs w:val="20"/>
              </w:rPr>
              <w:t>8,500</w:t>
            </w:r>
          </w:p>
        </w:tc>
        <w:tc>
          <w:tcPr>
            <w:tcW w:w="2660" w:type="dxa"/>
            <w:tcMar>
              <w:top w:w="100" w:type="dxa"/>
              <w:left w:w="120" w:type="dxa"/>
              <w:bottom w:w="100" w:type="dxa"/>
              <w:right w:w="120" w:type="dxa"/>
            </w:tcMar>
            <w:vAlign w:val="center"/>
          </w:tcPr>
          <w:p w14:paraId="581B2018">
            <w:pPr>
              <w:jc w:val="center"/>
            </w:pPr>
            <w:r>
              <w:rPr>
                <w:b w:val="0"/>
                <w:bCs w:val="0"/>
                <w:color w:val="262626"/>
                <w:sz w:val="20"/>
                <w:szCs w:val="20"/>
              </w:rPr>
              <w:t>83.93%</w:t>
            </w:r>
          </w:p>
        </w:tc>
      </w:tr>
      <w:tr w14:paraId="1C9A37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00" w:type="dxa"/>
            <w:shd w:val="clear" w:color="auto" w:fill="F2F6FB"/>
            <w:tcMar>
              <w:top w:w="100" w:type="dxa"/>
              <w:left w:w="120" w:type="dxa"/>
              <w:bottom w:w="100" w:type="dxa"/>
              <w:right w:w="120" w:type="dxa"/>
            </w:tcMar>
            <w:vAlign w:val="center"/>
          </w:tcPr>
          <w:p w14:paraId="2A3CF28C">
            <w:pPr>
              <w:jc w:val="left"/>
            </w:pPr>
            <w:r>
              <w:rPr>
                <w:b w:val="0"/>
                <w:bCs w:val="0"/>
                <w:color w:val="262626"/>
                <w:sz w:val="20"/>
                <w:szCs w:val="20"/>
              </w:rPr>
              <w:t>Attrited Customer</w:t>
            </w:r>
          </w:p>
        </w:tc>
        <w:tc>
          <w:tcPr>
            <w:tcW w:w="2900" w:type="dxa"/>
            <w:shd w:val="clear" w:color="auto" w:fill="F2F6FB"/>
            <w:tcMar>
              <w:top w:w="100" w:type="dxa"/>
              <w:left w:w="120" w:type="dxa"/>
              <w:bottom w:w="100" w:type="dxa"/>
              <w:right w:w="120" w:type="dxa"/>
            </w:tcMar>
            <w:vAlign w:val="center"/>
          </w:tcPr>
          <w:p w14:paraId="4DC00F06">
            <w:pPr>
              <w:jc w:val="center"/>
            </w:pPr>
            <w:r>
              <w:rPr>
                <w:b w:val="0"/>
                <w:bCs w:val="0"/>
                <w:color w:val="262626"/>
                <w:sz w:val="20"/>
                <w:szCs w:val="20"/>
              </w:rPr>
              <w:t>1,627</w:t>
            </w:r>
          </w:p>
        </w:tc>
        <w:tc>
          <w:tcPr>
            <w:tcW w:w="2660" w:type="dxa"/>
            <w:shd w:val="clear" w:color="auto" w:fill="F2F6FB"/>
            <w:tcMar>
              <w:top w:w="100" w:type="dxa"/>
              <w:left w:w="120" w:type="dxa"/>
              <w:bottom w:w="100" w:type="dxa"/>
              <w:right w:w="120" w:type="dxa"/>
            </w:tcMar>
            <w:vAlign w:val="center"/>
          </w:tcPr>
          <w:p w14:paraId="57766528">
            <w:pPr>
              <w:jc w:val="center"/>
            </w:pPr>
            <w:r>
              <w:rPr>
                <w:b w:val="0"/>
                <w:bCs w:val="0"/>
                <w:color w:val="262626"/>
                <w:sz w:val="20"/>
                <w:szCs w:val="20"/>
              </w:rPr>
              <w:t>16.07%</w:t>
            </w:r>
          </w:p>
        </w:tc>
      </w:tr>
    </w:tbl>
    <w:p w14:paraId="591500B8">
      <w:pPr>
        <w:spacing w:before="160"/>
      </w:pPr>
    </w:p>
    <w:p w14:paraId="7B33D0CA">
      <w:pPr>
        <w:spacing w:after="160" w:line="276" w:lineRule="auto"/>
        <w:jc w:val="both"/>
      </w:pPr>
      <w:r>
        <w:rPr>
          <w:b w:val="0"/>
          <w:bCs w:val="0"/>
          <w:i w:val="0"/>
          <w:iCs w:val="0"/>
          <w:color w:val="262626"/>
          <w:sz w:val="22"/>
          <w:szCs w:val="22"/>
        </w:rPr>
        <w:t>Because of this imbalance, accuracy alone is an insufficient evaluation metric; precision, recall, F1-score, and ROC-AUC were used to assess how well each model identifies the minority (Attrited) class, which is the class of primary business interest.</w:t>
      </w:r>
    </w:p>
    <w:p w14:paraId="0F892A29">
      <w:pPr>
        <w:pStyle w:val="2"/>
        <w:pBdr>
          <w:bottom w:val="single" w:color="2E74B5" w:sz="8" w:space="4"/>
        </w:pBdr>
        <w:spacing w:before="480" w:after="240"/>
      </w:pPr>
      <w:r>
        <w:rPr>
          <w:rFonts w:hint="default"/>
          <w:b/>
          <w:bCs/>
          <w:color w:val="1F3864"/>
          <w:sz w:val="30"/>
          <w:szCs w:val="30"/>
          <w:lang w:val="en-IN"/>
        </w:rPr>
        <w:t>6</w:t>
      </w:r>
      <w:r>
        <w:rPr>
          <w:b/>
          <w:bCs/>
          <w:color w:val="1F3864"/>
          <w:sz w:val="30"/>
          <w:szCs w:val="30"/>
        </w:rPr>
        <w:t>. Methodology</w:t>
      </w:r>
    </w:p>
    <w:p w14:paraId="54DB1A0A">
      <w:pPr>
        <w:spacing w:after="160" w:line="276" w:lineRule="auto"/>
        <w:jc w:val="both"/>
      </w:pPr>
      <w:r>
        <w:rPr>
          <w:b w:val="0"/>
          <w:bCs w:val="0"/>
          <w:i w:val="0"/>
          <w:iCs w:val="0"/>
          <w:color w:val="262626"/>
          <w:sz w:val="22"/>
          <w:szCs w:val="22"/>
        </w:rPr>
        <w:t>The project followed a standard, structured machine learning pipeline, illustrated below and detailed in the sections that follow.</w:t>
      </w:r>
    </w:p>
    <w:tbl>
      <w:tblPr>
        <w:tblStyle w:val="9"/>
        <w:tblW w:w="9360" w:type="dxa"/>
        <w:tblInd w:w="0" w:type="dxa"/>
        <w:tblBorders>
          <w:top w:val="dashed" w:color="8FAADC" w:sz="6" w:space="0"/>
          <w:left w:val="dashed" w:color="8FAADC" w:sz="6" w:space="0"/>
          <w:bottom w:val="dashed" w:color="8FAADC" w:sz="6" w:space="0"/>
          <w:right w:val="dashed" w:color="8FAADC" w:sz="6"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2C7473">
        <w:tblPrEx>
          <w:tblBorders>
            <w:top w:val="dashed" w:color="8FAADC" w:sz="6" w:space="0"/>
            <w:left w:val="dashed" w:color="8FAADC" w:sz="6" w:space="0"/>
            <w:bottom w:val="dashed" w:color="8FAADC" w:sz="6" w:space="0"/>
            <w:right w:val="dashed" w:color="8FAADC" w:sz="6" w:space="0"/>
            <w:insideH w:val="single" w:color="auto" w:sz="4" w:space="0"/>
            <w:insideV w:val="single" w:color="auto" w:sz="4" w:space="0"/>
          </w:tblBorders>
        </w:tblPrEx>
        <w:tc>
          <w:tcPr>
            <w:shd w:val="clear" w:color="auto" w:fill="F5F8FC"/>
            <w:tcMar>
              <w:top w:w="600" w:type="dxa"/>
              <w:left w:w="200" w:type="dxa"/>
              <w:bottom w:w="600" w:type="dxa"/>
              <w:right w:w="200" w:type="dxa"/>
            </w:tcMar>
          </w:tcPr>
          <w:p w14:paraId="07B507F3">
            <w:pPr>
              <w:jc w:val="center"/>
              <w:rPr>
                <w:rFonts w:hint="default"/>
                <w:lang w:val="en-IN"/>
              </w:rPr>
            </w:pPr>
          </w:p>
          <w:p w14:paraId="6CAC6E7B">
            <w:pPr>
              <w:jc w:val="center"/>
              <w:rPr>
                <w:rFonts w:hint="default"/>
                <w:lang w:val="en-IN"/>
              </w:rPr>
            </w:pPr>
            <w:r>
              <w:rPr>
                <w:rFonts w:hint="default"/>
                <w:lang w:val="en-IN"/>
              </w:rPr>
              <w:drawing>
                <wp:inline distT="0" distB="0" distL="114300" distR="114300">
                  <wp:extent cx="4313555" cy="3384550"/>
                  <wp:effectExtent l="0" t="0" r="0" b="0"/>
                  <wp:docPr id="1" name="Picture 1" descr="Dataset Collection -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taset Collection - visual selection"/>
                          <pic:cNvPicPr>
                            <a:picLocks noChangeAspect="1"/>
                          </pic:cNvPicPr>
                        </pic:nvPicPr>
                        <pic:blipFill>
                          <a:blip r:embed="rId6"/>
                          <a:srcRect b="4884"/>
                          <a:stretch>
                            <a:fillRect/>
                          </a:stretch>
                        </pic:blipFill>
                        <pic:spPr>
                          <a:xfrm>
                            <a:off x="0" y="0"/>
                            <a:ext cx="4313555" cy="3384550"/>
                          </a:xfrm>
                          <a:prstGeom prst="rect">
                            <a:avLst/>
                          </a:prstGeom>
                        </pic:spPr>
                      </pic:pic>
                    </a:graphicData>
                  </a:graphic>
                </wp:inline>
              </w:drawing>
            </w:r>
          </w:p>
        </w:tc>
      </w:tr>
    </w:tbl>
    <w:p w14:paraId="2709E80E">
      <w:pPr>
        <w:spacing w:before="100" w:after="240"/>
        <w:jc w:val="center"/>
      </w:pPr>
      <w:r>
        <w:rPr>
          <w:i/>
          <w:iCs/>
          <w:color w:val="595959"/>
          <w:sz w:val="18"/>
          <w:szCs w:val="18"/>
        </w:rPr>
        <w:t>Figure 1. Overall workflow from raw dataset to churn prediction output.</w:t>
      </w:r>
    </w:p>
    <w:p w14:paraId="46214A1F">
      <w:pPr>
        <w:pStyle w:val="16"/>
        <w:numPr>
          <w:numId w:val="0"/>
        </w:numPr>
        <w:spacing w:after="100"/>
        <w:ind w:left="200" w:leftChars="0"/>
      </w:pPr>
    </w:p>
    <w:p w14:paraId="389131E6">
      <w:pPr>
        <w:pStyle w:val="2"/>
        <w:pBdr>
          <w:bottom w:val="single" w:color="2E74B5" w:sz="8" w:space="4"/>
        </w:pBdr>
        <w:spacing w:before="480" w:after="240"/>
      </w:pPr>
      <w:r>
        <w:rPr>
          <w:rFonts w:hint="default"/>
          <w:b/>
          <w:bCs/>
          <w:color w:val="1F3864"/>
          <w:sz w:val="30"/>
          <w:szCs w:val="30"/>
          <w:lang w:val="en-IN"/>
        </w:rPr>
        <w:t>7</w:t>
      </w:r>
      <w:r>
        <w:rPr>
          <w:b/>
          <w:bCs/>
          <w:color w:val="1F3864"/>
          <w:sz w:val="30"/>
          <w:szCs w:val="30"/>
        </w:rPr>
        <w:t>. Data Preprocessing</w:t>
      </w:r>
    </w:p>
    <w:p w14:paraId="3BD4A43A">
      <w:pPr>
        <w:spacing w:after="160" w:line="276" w:lineRule="auto"/>
        <w:jc w:val="both"/>
      </w:pPr>
      <w:r>
        <w:rPr>
          <w:b w:val="0"/>
          <w:bCs w:val="0"/>
          <w:i w:val="0"/>
          <w:iCs w:val="0"/>
          <w:color w:val="262626"/>
          <w:sz w:val="22"/>
          <w:szCs w:val="22"/>
        </w:rPr>
        <w:t>Before model training, the raw dataset was cleaned and prepared through the following steps:</w:t>
      </w:r>
    </w:p>
    <w:p w14:paraId="2D7D9653">
      <w:pPr>
        <w:pStyle w:val="16"/>
        <w:numPr>
          <w:ilvl w:val="0"/>
          <w:numId w:val="2"/>
        </w:numPr>
        <w:spacing w:after="100"/>
      </w:pPr>
      <w:r>
        <w:rPr>
          <w:color w:val="262626"/>
          <w:sz w:val="22"/>
          <w:szCs w:val="22"/>
        </w:rPr>
        <w:t>The CLIENTNUM column was removed, as it is a unique customer identifier with no predictive value.</w:t>
      </w:r>
    </w:p>
    <w:p w14:paraId="36401068">
      <w:pPr>
        <w:pStyle w:val="16"/>
        <w:numPr>
          <w:ilvl w:val="0"/>
          <w:numId w:val="2"/>
        </w:numPr>
        <w:spacing w:after="100"/>
      </w:pPr>
      <w:r>
        <w:rPr>
          <w:color w:val="262626"/>
          <w:sz w:val="22"/>
          <w:szCs w:val="22"/>
        </w:rPr>
        <w:t>Two Naive Bayes classifier columns included in the original dataset were removed to prevent target leakage, since these columns were themselves derived from the target variable.</w:t>
      </w:r>
    </w:p>
    <w:p w14:paraId="7106DE3E">
      <w:pPr>
        <w:pStyle w:val="16"/>
        <w:numPr>
          <w:ilvl w:val="0"/>
          <w:numId w:val="2"/>
        </w:numPr>
        <w:spacing w:after="100"/>
      </w:pPr>
      <w:r>
        <w:rPr>
          <w:color w:val="262626"/>
          <w:sz w:val="22"/>
          <w:szCs w:val="22"/>
        </w:rPr>
        <w:t>The target variable was label-encoded: Existing Customer = 0, Attrited Customer = 1.</w:t>
      </w:r>
    </w:p>
    <w:p w14:paraId="254BA6CD">
      <w:pPr>
        <w:pStyle w:val="16"/>
        <w:numPr>
          <w:ilvl w:val="0"/>
          <w:numId w:val="2"/>
        </w:numPr>
        <w:spacing w:after="100"/>
      </w:pPr>
      <w:r>
        <w:rPr>
          <w:color w:val="262626"/>
          <w:sz w:val="22"/>
          <w:szCs w:val="22"/>
        </w:rPr>
        <w:t>The dataset contained no actual missing (NaN) values.</w:t>
      </w:r>
    </w:p>
    <w:p w14:paraId="438238E5">
      <w:pPr>
        <w:pStyle w:val="16"/>
        <w:numPr>
          <w:ilvl w:val="0"/>
          <w:numId w:val="2"/>
        </w:numPr>
        <w:spacing w:after="100"/>
      </w:pPr>
      <w:r>
        <w:rPr>
          <w:color w:val="262626"/>
          <w:sz w:val="22"/>
          <w:szCs w:val="22"/>
        </w:rPr>
        <w:t>"Unknown" values present in some categorical columns were retained as a valid category rather than being imputed, as they may carry information about non-disclosure behavior.</w:t>
      </w:r>
    </w:p>
    <w:p w14:paraId="44571A48">
      <w:pPr>
        <w:pStyle w:val="16"/>
        <w:numPr>
          <w:ilvl w:val="0"/>
          <w:numId w:val="2"/>
        </w:numPr>
        <w:spacing w:after="100"/>
      </w:pPr>
      <w:r>
        <w:rPr>
          <w:color w:val="262626"/>
          <w:sz w:val="22"/>
          <w:szCs w:val="22"/>
        </w:rPr>
        <w:t>Categorical features were encoded using OneHotEncoder.</w:t>
      </w:r>
    </w:p>
    <w:p w14:paraId="36C9175D">
      <w:pPr>
        <w:pStyle w:val="16"/>
        <w:numPr>
          <w:ilvl w:val="0"/>
          <w:numId w:val="2"/>
        </w:numPr>
        <w:spacing w:after="100"/>
      </w:pPr>
      <w:r>
        <w:rPr>
          <w:color w:val="262626"/>
          <w:sz w:val="22"/>
          <w:szCs w:val="22"/>
        </w:rPr>
        <w:t>Numerical features were standardized using StandardScaler.</w:t>
      </w:r>
    </w:p>
    <w:p w14:paraId="08677384">
      <w:pPr>
        <w:pStyle w:val="16"/>
        <w:numPr>
          <w:ilvl w:val="0"/>
          <w:numId w:val="2"/>
        </w:numPr>
        <w:spacing w:after="100"/>
      </w:pPr>
      <w:r>
        <w:rPr>
          <w:color w:val="262626"/>
          <w:sz w:val="22"/>
          <w:szCs w:val="22"/>
        </w:rPr>
        <w:t>All preprocessing steps were implemented using a Scikit-learn Pipeline combined with a ColumnTransformer, ensuring consistent, leak-free transformation of training and test data.</w:t>
      </w:r>
    </w:p>
    <w:p w14:paraId="4F6F6AC6">
      <w:pPr>
        <w:pStyle w:val="2"/>
        <w:pBdr>
          <w:bottom w:val="single" w:color="2E74B5" w:sz="8" w:space="4"/>
        </w:pBdr>
        <w:spacing w:before="480" w:after="240"/>
      </w:pPr>
      <w:r>
        <w:rPr>
          <w:rFonts w:hint="default"/>
          <w:b/>
          <w:bCs/>
          <w:color w:val="1F3864"/>
          <w:sz w:val="30"/>
          <w:szCs w:val="30"/>
          <w:lang w:val="en-IN"/>
        </w:rPr>
        <w:t>8</w:t>
      </w:r>
      <w:r>
        <w:rPr>
          <w:b/>
          <w:bCs/>
          <w:color w:val="1F3864"/>
          <w:sz w:val="30"/>
          <w:szCs w:val="30"/>
        </w:rPr>
        <w:t>. Feature Engineering</w:t>
      </w:r>
    </w:p>
    <w:p w14:paraId="313431BE">
      <w:pPr>
        <w:spacing w:after="160" w:line="276" w:lineRule="auto"/>
        <w:jc w:val="both"/>
      </w:pPr>
      <w:r>
        <w:rPr>
          <w:b w:val="0"/>
          <w:bCs w:val="0"/>
          <w:i w:val="0"/>
          <w:iCs w:val="0"/>
          <w:color w:val="262626"/>
          <w:sz w:val="22"/>
          <w:szCs w:val="22"/>
        </w:rPr>
        <w:t>Two derived features were engineered from existing transaction attributes to better capture customer spending behavior:</w:t>
      </w:r>
    </w:p>
    <w:tbl>
      <w:tblPr>
        <w:tblStyle w:val="9"/>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900"/>
        <w:gridCol w:w="3200"/>
        <w:gridCol w:w="3260"/>
      </w:tblGrid>
      <w:tr w14:paraId="16BE15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900" w:type="dxa"/>
            <w:shd w:val="clear" w:color="auto" w:fill="1F3864"/>
            <w:tcMar>
              <w:top w:w="100" w:type="dxa"/>
              <w:left w:w="120" w:type="dxa"/>
              <w:bottom w:w="100" w:type="dxa"/>
              <w:right w:w="120" w:type="dxa"/>
            </w:tcMar>
            <w:vAlign w:val="center"/>
          </w:tcPr>
          <w:p w14:paraId="27D15C26">
            <w:pPr>
              <w:jc w:val="left"/>
            </w:pPr>
            <w:r>
              <w:rPr>
                <w:b/>
                <w:bCs/>
                <w:color w:val="FFFFFF"/>
                <w:sz w:val="20"/>
                <w:szCs w:val="20"/>
              </w:rPr>
              <w:t>Engineered Feature</w:t>
            </w:r>
          </w:p>
        </w:tc>
        <w:tc>
          <w:tcPr>
            <w:tcW w:w="3200" w:type="dxa"/>
            <w:shd w:val="clear" w:color="auto" w:fill="1F3864"/>
            <w:tcMar>
              <w:top w:w="100" w:type="dxa"/>
              <w:left w:w="120" w:type="dxa"/>
              <w:bottom w:w="100" w:type="dxa"/>
              <w:right w:w="120" w:type="dxa"/>
            </w:tcMar>
            <w:vAlign w:val="center"/>
          </w:tcPr>
          <w:p w14:paraId="6B6F1983">
            <w:pPr>
              <w:jc w:val="center"/>
            </w:pPr>
            <w:r>
              <w:rPr>
                <w:b/>
                <w:bCs/>
                <w:color w:val="FFFFFF"/>
                <w:sz w:val="20"/>
                <w:szCs w:val="20"/>
              </w:rPr>
              <w:t>Formula</w:t>
            </w:r>
          </w:p>
        </w:tc>
        <w:tc>
          <w:tcPr>
            <w:tcW w:w="3260" w:type="dxa"/>
            <w:shd w:val="clear" w:color="auto" w:fill="1F3864"/>
            <w:tcMar>
              <w:top w:w="100" w:type="dxa"/>
              <w:left w:w="120" w:type="dxa"/>
              <w:bottom w:w="100" w:type="dxa"/>
              <w:right w:w="120" w:type="dxa"/>
            </w:tcMar>
            <w:vAlign w:val="center"/>
          </w:tcPr>
          <w:p w14:paraId="21CC51BC">
            <w:pPr>
              <w:jc w:val="center"/>
            </w:pPr>
            <w:r>
              <w:rPr>
                <w:b/>
                <w:bCs/>
                <w:color w:val="FFFFFF"/>
                <w:sz w:val="20"/>
                <w:szCs w:val="20"/>
              </w:rPr>
              <w:t>Rationale</w:t>
            </w:r>
          </w:p>
        </w:tc>
      </w:tr>
      <w:tr w14:paraId="1C3F72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900" w:type="dxa"/>
            <w:tcMar>
              <w:top w:w="100" w:type="dxa"/>
              <w:left w:w="120" w:type="dxa"/>
              <w:bottom w:w="100" w:type="dxa"/>
              <w:right w:w="120" w:type="dxa"/>
            </w:tcMar>
            <w:vAlign w:val="center"/>
          </w:tcPr>
          <w:p w14:paraId="1E85B052">
            <w:pPr>
              <w:jc w:val="left"/>
            </w:pPr>
            <w:r>
              <w:rPr>
                <w:b w:val="0"/>
                <w:bCs w:val="0"/>
                <w:color w:val="262626"/>
                <w:sz w:val="20"/>
                <w:szCs w:val="20"/>
              </w:rPr>
              <w:t>Avg_Transaction_Amount</w:t>
            </w:r>
          </w:p>
        </w:tc>
        <w:tc>
          <w:tcPr>
            <w:tcW w:w="3200" w:type="dxa"/>
            <w:tcMar>
              <w:top w:w="100" w:type="dxa"/>
              <w:left w:w="120" w:type="dxa"/>
              <w:bottom w:w="100" w:type="dxa"/>
              <w:right w:w="120" w:type="dxa"/>
            </w:tcMar>
            <w:vAlign w:val="center"/>
          </w:tcPr>
          <w:p w14:paraId="21CBFFDA">
            <w:pPr>
              <w:jc w:val="center"/>
            </w:pPr>
            <w:r>
              <w:rPr>
                <w:b w:val="0"/>
                <w:bCs w:val="0"/>
                <w:color w:val="262626"/>
                <w:sz w:val="20"/>
                <w:szCs w:val="20"/>
              </w:rPr>
              <w:t>Total_Trans_Amt / Total_Trans_Ct</w:t>
            </w:r>
          </w:p>
        </w:tc>
        <w:tc>
          <w:tcPr>
            <w:tcW w:w="3260" w:type="dxa"/>
            <w:tcMar>
              <w:top w:w="100" w:type="dxa"/>
              <w:left w:w="120" w:type="dxa"/>
              <w:bottom w:w="100" w:type="dxa"/>
              <w:right w:w="120" w:type="dxa"/>
            </w:tcMar>
            <w:vAlign w:val="center"/>
          </w:tcPr>
          <w:p w14:paraId="7E5EC5CA">
            <w:pPr>
              <w:jc w:val="center"/>
            </w:pPr>
            <w:r>
              <w:rPr>
                <w:b w:val="0"/>
                <w:bCs w:val="0"/>
                <w:color w:val="262626"/>
                <w:sz w:val="20"/>
                <w:szCs w:val="20"/>
              </w:rPr>
              <w:t>Captures average spend per transaction</w:t>
            </w:r>
          </w:p>
        </w:tc>
      </w:tr>
      <w:tr w14:paraId="30068B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900" w:type="dxa"/>
            <w:shd w:val="clear" w:color="auto" w:fill="F2F6FB"/>
            <w:tcMar>
              <w:top w:w="100" w:type="dxa"/>
              <w:left w:w="120" w:type="dxa"/>
              <w:bottom w:w="100" w:type="dxa"/>
              <w:right w:w="120" w:type="dxa"/>
            </w:tcMar>
            <w:vAlign w:val="center"/>
          </w:tcPr>
          <w:p w14:paraId="3789DFCB">
            <w:pPr>
              <w:jc w:val="left"/>
            </w:pPr>
            <w:r>
              <w:rPr>
                <w:b w:val="0"/>
                <w:bCs w:val="0"/>
                <w:color w:val="262626"/>
                <w:sz w:val="20"/>
                <w:szCs w:val="20"/>
              </w:rPr>
              <w:t>Transaction_Activity</w:t>
            </w:r>
          </w:p>
        </w:tc>
        <w:tc>
          <w:tcPr>
            <w:tcW w:w="3200" w:type="dxa"/>
            <w:shd w:val="clear" w:color="auto" w:fill="F2F6FB"/>
            <w:tcMar>
              <w:top w:w="100" w:type="dxa"/>
              <w:left w:w="120" w:type="dxa"/>
              <w:bottom w:w="100" w:type="dxa"/>
              <w:right w:w="120" w:type="dxa"/>
            </w:tcMar>
            <w:vAlign w:val="center"/>
          </w:tcPr>
          <w:p w14:paraId="310F8D7A">
            <w:pPr>
              <w:jc w:val="center"/>
            </w:pPr>
            <w:r>
              <w:rPr>
                <w:b w:val="0"/>
                <w:bCs w:val="0"/>
                <w:color w:val="262626"/>
                <w:sz w:val="20"/>
                <w:szCs w:val="20"/>
              </w:rPr>
              <w:t>Total_Trans_Ct / Months_on_book</w:t>
            </w:r>
          </w:p>
        </w:tc>
        <w:tc>
          <w:tcPr>
            <w:tcW w:w="3260" w:type="dxa"/>
            <w:shd w:val="clear" w:color="auto" w:fill="F2F6FB"/>
            <w:tcMar>
              <w:top w:w="100" w:type="dxa"/>
              <w:left w:w="120" w:type="dxa"/>
              <w:bottom w:w="100" w:type="dxa"/>
              <w:right w:w="120" w:type="dxa"/>
            </w:tcMar>
            <w:vAlign w:val="center"/>
          </w:tcPr>
          <w:p w14:paraId="0CA5FBB9">
            <w:pPr>
              <w:jc w:val="center"/>
            </w:pPr>
            <w:r>
              <w:rPr>
                <w:b w:val="0"/>
                <w:bCs w:val="0"/>
                <w:color w:val="262626"/>
                <w:sz w:val="20"/>
                <w:szCs w:val="20"/>
              </w:rPr>
              <w:t>Captures transaction frequency relative to tenure</w:t>
            </w:r>
          </w:p>
        </w:tc>
      </w:tr>
    </w:tbl>
    <w:p w14:paraId="74CFF0B9">
      <w:pPr>
        <w:spacing w:before="200"/>
      </w:pPr>
    </w:p>
    <w:p w14:paraId="18AA9145">
      <w:pPr>
        <w:spacing w:after="160" w:line="276" w:lineRule="auto"/>
        <w:jc w:val="both"/>
      </w:pPr>
      <w:r>
        <w:rPr>
          <w:b w:val="0"/>
          <w:bCs w:val="0"/>
          <w:i w:val="0"/>
          <w:iCs w:val="0"/>
          <w:color w:val="262626"/>
          <w:sz w:val="22"/>
          <w:szCs w:val="22"/>
        </w:rPr>
        <w:t>After feature engineering, the dataset used for modeling consisted of 21 input features.</w:t>
      </w:r>
    </w:p>
    <w:p w14:paraId="2B00D9BC">
      <w:pPr>
        <w:pStyle w:val="2"/>
        <w:pBdr>
          <w:bottom w:val="single" w:color="2E74B5" w:sz="8" w:space="4"/>
        </w:pBdr>
        <w:spacing w:before="480" w:after="240"/>
      </w:pPr>
      <w:r>
        <w:rPr>
          <w:rFonts w:hint="default"/>
          <w:b/>
          <w:bCs/>
          <w:color w:val="1F3864"/>
          <w:sz w:val="30"/>
          <w:szCs w:val="30"/>
          <w:lang w:val="en-IN"/>
        </w:rPr>
        <w:t>9</w:t>
      </w:r>
      <w:r>
        <w:rPr>
          <w:b/>
          <w:bCs/>
          <w:color w:val="1F3864"/>
          <w:sz w:val="30"/>
          <w:szCs w:val="30"/>
        </w:rPr>
        <w:t>. Train/Test Split</w:t>
      </w:r>
    </w:p>
    <w:p w14:paraId="1090C4E4">
      <w:pPr>
        <w:spacing w:after="160" w:line="276" w:lineRule="auto"/>
        <w:jc w:val="both"/>
        <w:rPr>
          <w:b w:val="0"/>
          <w:bCs w:val="0"/>
          <w:i w:val="0"/>
          <w:iCs w:val="0"/>
          <w:color w:val="262626"/>
          <w:sz w:val="22"/>
          <w:szCs w:val="22"/>
        </w:rPr>
      </w:pPr>
      <w:r>
        <w:rPr>
          <w:b w:val="0"/>
          <w:bCs w:val="0"/>
          <w:i w:val="0"/>
          <w:iCs w:val="0"/>
          <w:color w:val="262626"/>
          <w:sz w:val="22"/>
          <w:szCs w:val="22"/>
        </w:rPr>
        <w:t>The dataset was split into training and testing sets using an 80:20 stratified split, preserving the original class ratio in both subsets. A fixed random_state of 42 was used to ensure reproducibility.</w:t>
      </w:r>
    </w:p>
    <w:p w14:paraId="5E7AF6F0">
      <w:pPr>
        <w:spacing w:after="160" w:line="276" w:lineRule="auto"/>
        <w:jc w:val="both"/>
        <w:rPr>
          <w:b w:val="0"/>
          <w:bCs w:val="0"/>
          <w:i w:val="0"/>
          <w:iCs w:val="0"/>
          <w:color w:val="262626"/>
          <w:sz w:val="22"/>
          <w:szCs w:val="22"/>
        </w:rPr>
      </w:pPr>
    </w:p>
    <w:tbl>
      <w:tblPr>
        <w:tblStyle w:val="9"/>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800"/>
        <w:gridCol w:w="2900"/>
        <w:gridCol w:w="2660"/>
      </w:tblGrid>
      <w:tr w14:paraId="10D972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800" w:type="dxa"/>
            <w:shd w:val="clear" w:color="auto" w:fill="1F3864"/>
            <w:tcMar>
              <w:top w:w="100" w:type="dxa"/>
              <w:left w:w="120" w:type="dxa"/>
              <w:bottom w:w="100" w:type="dxa"/>
              <w:right w:w="120" w:type="dxa"/>
            </w:tcMar>
            <w:vAlign w:val="center"/>
          </w:tcPr>
          <w:p w14:paraId="571D221D">
            <w:pPr>
              <w:jc w:val="left"/>
            </w:pPr>
            <w:r>
              <w:rPr>
                <w:b/>
                <w:bCs/>
                <w:color w:val="FFFFFF"/>
                <w:sz w:val="20"/>
                <w:szCs w:val="20"/>
              </w:rPr>
              <w:t>Subset</w:t>
            </w:r>
          </w:p>
        </w:tc>
        <w:tc>
          <w:tcPr>
            <w:tcW w:w="2900" w:type="dxa"/>
            <w:shd w:val="clear" w:color="auto" w:fill="1F3864"/>
            <w:tcMar>
              <w:top w:w="100" w:type="dxa"/>
              <w:left w:w="120" w:type="dxa"/>
              <w:bottom w:w="100" w:type="dxa"/>
              <w:right w:w="120" w:type="dxa"/>
            </w:tcMar>
            <w:vAlign w:val="center"/>
          </w:tcPr>
          <w:p w14:paraId="526A0B68">
            <w:pPr>
              <w:jc w:val="center"/>
            </w:pPr>
            <w:r>
              <w:rPr>
                <w:b/>
                <w:bCs/>
                <w:color w:val="FFFFFF"/>
                <w:sz w:val="20"/>
                <w:szCs w:val="20"/>
              </w:rPr>
              <w:t>Records</w:t>
            </w:r>
          </w:p>
        </w:tc>
        <w:tc>
          <w:tcPr>
            <w:tcW w:w="2660" w:type="dxa"/>
            <w:shd w:val="clear" w:color="auto" w:fill="1F3864"/>
            <w:tcMar>
              <w:top w:w="100" w:type="dxa"/>
              <w:left w:w="120" w:type="dxa"/>
              <w:bottom w:w="100" w:type="dxa"/>
              <w:right w:w="120" w:type="dxa"/>
            </w:tcMar>
            <w:vAlign w:val="center"/>
          </w:tcPr>
          <w:p w14:paraId="7C524182">
            <w:pPr>
              <w:jc w:val="center"/>
            </w:pPr>
            <w:r>
              <w:rPr>
                <w:b/>
                <w:bCs/>
                <w:color w:val="FFFFFF"/>
                <w:sz w:val="20"/>
                <w:szCs w:val="20"/>
              </w:rPr>
              <w:t>Proportion</w:t>
            </w:r>
          </w:p>
        </w:tc>
      </w:tr>
      <w:tr w14:paraId="2FFB51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00" w:type="dxa"/>
            <w:tcMar>
              <w:top w:w="100" w:type="dxa"/>
              <w:left w:w="120" w:type="dxa"/>
              <w:bottom w:w="100" w:type="dxa"/>
              <w:right w:w="120" w:type="dxa"/>
            </w:tcMar>
            <w:vAlign w:val="center"/>
          </w:tcPr>
          <w:p w14:paraId="48726B70">
            <w:pPr>
              <w:jc w:val="left"/>
            </w:pPr>
            <w:r>
              <w:rPr>
                <w:b w:val="0"/>
                <w:bCs w:val="0"/>
                <w:color w:val="262626"/>
                <w:sz w:val="20"/>
                <w:szCs w:val="20"/>
              </w:rPr>
              <w:t>Training Set</w:t>
            </w:r>
          </w:p>
        </w:tc>
        <w:tc>
          <w:tcPr>
            <w:tcW w:w="2900" w:type="dxa"/>
            <w:tcMar>
              <w:top w:w="100" w:type="dxa"/>
              <w:left w:w="120" w:type="dxa"/>
              <w:bottom w:w="100" w:type="dxa"/>
              <w:right w:w="120" w:type="dxa"/>
            </w:tcMar>
            <w:vAlign w:val="center"/>
          </w:tcPr>
          <w:p w14:paraId="37449DDD">
            <w:pPr>
              <w:jc w:val="center"/>
            </w:pPr>
            <w:r>
              <w:rPr>
                <w:b w:val="0"/>
                <w:bCs w:val="0"/>
                <w:color w:val="262626"/>
                <w:sz w:val="20"/>
                <w:szCs w:val="20"/>
              </w:rPr>
              <w:t>8,101</w:t>
            </w:r>
          </w:p>
        </w:tc>
        <w:tc>
          <w:tcPr>
            <w:tcW w:w="2660" w:type="dxa"/>
            <w:tcMar>
              <w:top w:w="100" w:type="dxa"/>
              <w:left w:w="120" w:type="dxa"/>
              <w:bottom w:w="100" w:type="dxa"/>
              <w:right w:w="120" w:type="dxa"/>
            </w:tcMar>
            <w:vAlign w:val="center"/>
          </w:tcPr>
          <w:p w14:paraId="1BB6F0FF">
            <w:pPr>
              <w:jc w:val="center"/>
            </w:pPr>
            <w:r>
              <w:rPr>
                <w:b w:val="0"/>
                <w:bCs w:val="0"/>
                <w:color w:val="262626"/>
                <w:sz w:val="20"/>
                <w:szCs w:val="20"/>
              </w:rPr>
              <w:t>80%</w:t>
            </w:r>
          </w:p>
        </w:tc>
      </w:tr>
      <w:tr w14:paraId="3B38E06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00" w:type="dxa"/>
            <w:shd w:val="clear" w:color="auto" w:fill="F2F6FB"/>
            <w:tcMar>
              <w:top w:w="100" w:type="dxa"/>
              <w:left w:w="120" w:type="dxa"/>
              <w:bottom w:w="100" w:type="dxa"/>
              <w:right w:w="120" w:type="dxa"/>
            </w:tcMar>
            <w:vAlign w:val="center"/>
          </w:tcPr>
          <w:p w14:paraId="15CD8B72">
            <w:pPr>
              <w:jc w:val="left"/>
            </w:pPr>
            <w:r>
              <w:rPr>
                <w:b w:val="0"/>
                <w:bCs w:val="0"/>
                <w:color w:val="262626"/>
                <w:sz w:val="20"/>
                <w:szCs w:val="20"/>
              </w:rPr>
              <w:t>Testing Set</w:t>
            </w:r>
          </w:p>
        </w:tc>
        <w:tc>
          <w:tcPr>
            <w:tcW w:w="2900" w:type="dxa"/>
            <w:shd w:val="clear" w:color="auto" w:fill="F2F6FB"/>
            <w:tcMar>
              <w:top w:w="100" w:type="dxa"/>
              <w:left w:w="120" w:type="dxa"/>
              <w:bottom w:w="100" w:type="dxa"/>
              <w:right w:w="120" w:type="dxa"/>
            </w:tcMar>
            <w:vAlign w:val="center"/>
          </w:tcPr>
          <w:p w14:paraId="420C68A2">
            <w:pPr>
              <w:jc w:val="center"/>
            </w:pPr>
            <w:r>
              <w:rPr>
                <w:b w:val="0"/>
                <w:bCs w:val="0"/>
                <w:color w:val="262626"/>
                <w:sz w:val="20"/>
                <w:szCs w:val="20"/>
              </w:rPr>
              <w:t>2,026</w:t>
            </w:r>
          </w:p>
        </w:tc>
        <w:tc>
          <w:tcPr>
            <w:tcW w:w="2660" w:type="dxa"/>
            <w:shd w:val="clear" w:color="auto" w:fill="F2F6FB"/>
            <w:tcMar>
              <w:top w:w="100" w:type="dxa"/>
              <w:left w:w="120" w:type="dxa"/>
              <w:bottom w:w="100" w:type="dxa"/>
              <w:right w:w="120" w:type="dxa"/>
            </w:tcMar>
            <w:vAlign w:val="center"/>
          </w:tcPr>
          <w:p w14:paraId="3405FDD0">
            <w:pPr>
              <w:jc w:val="center"/>
            </w:pPr>
            <w:r>
              <w:rPr>
                <w:b w:val="0"/>
                <w:bCs w:val="0"/>
                <w:color w:val="262626"/>
                <w:sz w:val="20"/>
                <w:szCs w:val="20"/>
              </w:rPr>
              <w:t>20%</w:t>
            </w:r>
          </w:p>
        </w:tc>
      </w:tr>
    </w:tbl>
    <w:p w14:paraId="5E6F7D97">
      <w:pPr>
        <w:pStyle w:val="2"/>
        <w:pBdr>
          <w:bottom w:val="single" w:color="2E74B5" w:sz="8" w:space="4"/>
        </w:pBdr>
        <w:spacing w:before="480" w:after="240"/>
      </w:pPr>
      <w:r>
        <w:rPr>
          <w:b/>
          <w:bCs/>
          <w:color w:val="1F3864"/>
          <w:sz w:val="30"/>
          <w:szCs w:val="30"/>
        </w:rPr>
        <w:t>1</w:t>
      </w:r>
      <w:r>
        <w:rPr>
          <w:rFonts w:hint="default"/>
          <w:b/>
          <w:bCs/>
          <w:color w:val="1F3864"/>
          <w:sz w:val="30"/>
          <w:szCs w:val="30"/>
          <w:lang w:val="en-IN"/>
        </w:rPr>
        <w:t>0</w:t>
      </w:r>
      <w:r>
        <w:rPr>
          <w:b/>
          <w:bCs/>
          <w:color w:val="1F3864"/>
          <w:sz w:val="30"/>
          <w:szCs w:val="30"/>
        </w:rPr>
        <w:t>. Machine Learning Models</w:t>
      </w:r>
    </w:p>
    <w:p w14:paraId="614C38D3">
      <w:pPr>
        <w:spacing w:after="160" w:line="276" w:lineRule="auto"/>
        <w:jc w:val="both"/>
      </w:pPr>
      <w:r>
        <w:rPr>
          <w:b w:val="0"/>
          <w:bCs w:val="0"/>
          <w:i w:val="0"/>
          <w:iCs w:val="0"/>
          <w:color w:val="262626"/>
          <w:sz w:val="22"/>
          <w:szCs w:val="22"/>
        </w:rPr>
        <w:t>Three classification algorithms, representing a range of model complexity, were trained and compared:</w:t>
      </w:r>
    </w:p>
    <w:p w14:paraId="5C227B66">
      <w:pPr>
        <w:pStyle w:val="16"/>
        <w:numPr>
          <w:ilvl w:val="0"/>
          <w:numId w:val="3"/>
        </w:numPr>
        <w:spacing w:after="100"/>
      </w:pPr>
      <w:r>
        <w:rPr>
          <w:color w:val="262626"/>
          <w:sz w:val="22"/>
          <w:szCs w:val="22"/>
        </w:rPr>
        <w:t>Logistic Regression — a linear baseline model, useful for interpretability.</w:t>
      </w:r>
    </w:p>
    <w:p w14:paraId="265F01A9">
      <w:pPr>
        <w:pStyle w:val="16"/>
        <w:numPr>
          <w:ilvl w:val="0"/>
          <w:numId w:val="3"/>
        </w:numPr>
        <w:spacing w:after="100"/>
      </w:pPr>
      <w:r>
        <w:rPr>
          <w:color w:val="262626"/>
          <w:sz w:val="22"/>
          <w:szCs w:val="22"/>
        </w:rPr>
        <w:t>Random Forest — a bagging-based ensemble of decision trees.</w:t>
      </w:r>
    </w:p>
    <w:p w14:paraId="2C80ECDB">
      <w:pPr>
        <w:pStyle w:val="16"/>
        <w:numPr>
          <w:ilvl w:val="0"/>
          <w:numId w:val="3"/>
        </w:numPr>
        <w:spacing w:after="100"/>
      </w:pPr>
      <w:r>
        <w:rPr>
          <w:color w:val="262626"/>
          <w:sz w:val="22"/>
          <w:szCs w:val="22"/>
        </w:rPr>
        <w:t>Gradient Boosting — a boosting-based ensemble that builds trees sequentially to correct prior errors.</w:t>
      </w:r>
    </w:p>
    <w:p w14:paraId="311069B9">
      <w:pPr>
        <w:spacing w:after="160" w:line="276" w:lineRule="auto"/>
        <w:jc w:val="both"/>
      </w:pPr>
      <w:r>
        <w:rPr>
          <w:b w:val="0"/>
          <w:bCs w:val="0"/>
          <w:i w:val="0"/>
          <w:iCs w:val="0"/>
          <w:color w:val="262626"/>
          <w:sz w:val="22"/>
          <w:szCs w:val="22"/>
        </w:rPr>
        <w:t>All three models were trained on the preprocessed training set and validated using 5-fold stratified cross-validation to obtain a robust estimate of generalization performance prior to final evaluation on the held-out test set.</w:t>
      </w:r>
    </w:p>
    <w:p w14:paraId="332C65AE">
      <w:pPr>
        <w:pStyle w:val="2"/>
        <w:pBdr>
          <w:bottom w:val="single" w:color="2E74B5" w:sz="8" w:space="4"/>
        </w:pBdr>
        <w:spacing w:before="480" w:after="240"/>
      </w:pPr>
      <w:r>
        <w:rPr>
          <w:b/>
          <w:bCs/>
          <w:color w:val="1F3864"/>
          <w:sz w:val="30"/>
          <w:szCs w:val="30"/>
        </w:rPr>
        <w:t>1</w:t>
      </w:r>
      <w:r>
        <w:rPr>
          <w:rFonts w:hint="default"/>
          <w:b/>
          <w:bCs/>
          <w:color w:val="1F3864"/>
          <w:sz w:val="30"/>
          <w:szCs w:val="30"/>
          <w:lang w:val="en-IN"/>
        </w:rPr>
        <w:t>1</w:t>
      </w:r>
      <w:r>
        <w:rPr>
          <w:b/>
          <w:bCs/>
          <w:color w:val="1F3864"/>
          <w:sz w:val="30"/>
          <w:szCs w:val="30"/>
        </w:rPr>
        <w:t>. Model Evaluation</w:t>
      </w:r>
    </w:p>
    <w:p w14:paraId="6C52FB57">
      <w:pPr>
        <w:spacing w:after="160" w:line="276" w:lineRule="auto"/>
        <w:jc w:val="both"/>
      </w:pPr>
      <w:r>
        <w:rPr>
          <w:b w:val="0"/>
          <w:bCs w:val="0"/>
          <w:i w:val="0"/>
          <w:iCs w:val="0"/>
          <w:color w:val="262626"/>
          <w:sz w:val="22"/>
          <w:szCs w:val="22"/>
        </w:rPr>
        <w:t>The three models were evaluated on the held-out test set (2,026 records) using accuracy, precision, recall, F1-score, and ROC-AUC. Note that the 99.10% figure for Gradient Boosting refers to ROC-AUC, not accuracy.</w:t>
      </w:r>
    </w:p>
    <w:tbl>
      <w:tblPr>
        <w:tblStyle w:val="9"/>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560"/>
        <w:gridCol w:w="1360"/>
        <w:gridCol w:w="1360"/>
        <w:gridCol w:w="1200"/>
        <w:gridCol w:w="1300"/>
        <w:gridCol w:w="1580"/>
      </w:tblGrid>
      <w:tr w14:paraId="548FC9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2560" w:type="dxa"/>
            <w:shd w:val="clear" w:color="auto" w:fill="1F3864"/>
            <w:tcMar>
              <w:top w:w="100" w:type="dxa"/>
              <w:left w:w="120" w:type="dxa"/>
              <w:bottom w:w="100" w:type="dxa"/>
              <w:right w:w="120" w:type="dxa"/>
            </w:tcMar>
            <w:vAlign w:val="center"/>
          </w:tcPr>
          <w:p w14:paraId="3670594C">
            <w:pPr>
              <w:jc w:val="left"/>
            </w:pPr>
            <w:r>
              <w:rPr>
                <w:b/>
                <w:bCs/>
                <w:color w:val="FFFFFF"/>
                <w:sz w:val="20"/>
                <w:szCs w:val="20"/>
              </w:rPr>
              <w:t>Model</w:t>
            </w:r>
          </w:p>
        </w:tc>
        <w:tc>
          <w:tcPr>
            <w:tcW w:w="1360" w:type="dxa"/>
            <w:shd w:val="clear" w:color="auto" w:fill="1F3864"/>
            <w:tcMar>
              <w:top w:w="100" w:type="dxa"/>
              <w:left w:w="120" w:type="dxa"/>
              <w:bottom w:w="100" w:type="dxa"/>
              <w:right w:w="120" w:type="dxa"/>
            </w:tcMar>
            <w:vAlign w:val="center"/>
          </w:tcPr>
          <w:p w14:paraId="2003A0B4">
            <w:pPr>
              <w:jc w:val="center"/>
            </w:pPr>
            <w:r>
              <w:rPr>
                <w:b/>
                <w:bCs/>
                <w:color w:val="FFFFFF"/>
                <w:sz w:val="20"/>
                <w:szCs w:val="20"/>
              </w:rPr>
              <w:t>Accuracy</w:t>
            </w:r>
          </w:p>
        </w:tc>
        <w:tc>
          <w:tcPr>
            <w:tcW w:w="1360" w:type="dxa"/>
            <w:shd w:val="clear" w:color="auto" w:fill="1F3864"/>
            <w:tcMar>
              <w:top w:w="100" w:type="dxa"/>
              <w:left w:w="120" w:type="dxa"/>
              <w:bottom w:w="100" w:type="dxa"/>
              <w:right w:w="120" w:type="dxa"/>
            </w:tcMar>
            <w:vAlign w:val="center"/>
          </w:tcPr>
          <w:p w14:paraId="4319AAA2">
            <w:pPr>
              <w:jc w:val="center"/>
            </w:pPr>
            <w:r>
              <w:rPr>
                <w:b/>
                <w:bCs/>
                <w:color w:val="FFFFFF"/>
                <w:sz w:val="20"/>
                <w:szCs w:val="20"/>
              </w:rPr>
              <w:t>Precision</w:t>
            </w:r>
          </w:p>
        </w:tc>
        <w:tc>
          <w:tcPr>
            <w:tcW w:w="1200" w:type="dxa"/>
            <w:shd w:val="clear" w:color="auto" w:fill="1F3864"/>
            <w:tcMar>
              <w:top w:w="100" w:type="dxa"/>
              <w:left w:w="120" w:type="dxa"/>
              <w:bottom w:w="100" w:type="dxa"/>
              <w:right w:w="120" w:type="dxa"/>
            </w:tcMar>
            <w:vAlign w:val="center"/>
          </w:tcPr>
          <w:p w14:paraId="7CC56957">
            <w:pPr>
              <w:jc w:val="center"/>
            </w:pPr>
            <w:r>
              <w:rPr>
                <w:b/>
                <w:bCs/>
                <w:color w:val="FFFFFF"/>
                <w:sz w:val="20"/>
                <w:szCs w:val="20"/>
              </w:rPr>
              <w:t>Recall</w:t>
            </w:r>
          </w:p>
        </w:tc>
        <w:tc>
          <w:tcPr>
            <w:tcW w:w="1300" w:type="dxa"/>
            <w:shd w:val="clear" w:color="auto" w:fill="1F3864"/>
            <w:tcMar>
              <w:top w:w="100" w:type="dxa"/>
              <w:left w:w="120" w:type="dxa"/>
              <w:bottom w:w="100" w:type="dxa"/>
              <w:right w:w="120" w:type="dxa"/>
            </w:tcMar>
            <w:vAlign w:val="center"/>
          </w:tcPr>
          <w:p w14:paraId="68D13B60">
            <w:pPr>
              <w:jc w:val="center"/>
            </w:pPr>
            <w:r>
              <w:rPr>
                <w:b/>
                <w:bCs/>
                <w:color w:val="FFFFFF"/>
                <w:sz w:val="20"/>
                <w:szCs w:val="20"/>
              </w:rPr>
              <w:t>F1-Score</w:t>
            </w:r>
          </w:p>
        </w:tc>
        <w:tc>
          <w:tcPr>
            <w:tcW w:w="1580" w:type="dxa"/>
            <w:shd w:val="clear" w:color="auto" w:fill="1F3864"/>
            <w:tcMar>
              <w:top w:w="100" w:type="dxa"/>
              <w:left w:w="120" w:type="dxa"/>
              <w:bottom w:w="100" w:type="dxa"/>
              <w:right w:w="120" w:type="dxa"/>
            </w:tcMar>
            <w:vAlign w:val="center"/>
          </w:tcPr>
          <w:p w14:paraId="3974D9C5">
            <w:pPr>
              <w:jc w:val="center"/>
            </w:pPr>
            <w:r>
              <w:rPr>
                <w:b/>
                <w:bCs/>
                <w:color w:val="FFFFFF"/>
                <w:sz w:val="20"/>
                <w:szCs w:val="20"/>
              </w:rPr>
              <w:t>ROC-AUC</w:t>
            </w:r>
          </w:p>
        </w:tc>
      </w:tr>
      <w:tr w14:paraId="6E1D3D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60" w:type="dxa"/>
            <w:tcMar>
              <w:top w:w="100" w:type="dxa"/>
              <w:left w:w="120" w:type="dxa"/>
              <w:bottom w:w="100" w:type="dxa"/>
              <w:right w:w="120" w:type="dxa"/>
            </w:tcMar>
            <w:vAlign w:val="center"/>
          </w:tcPr>
          <w:p w14:paraId="628B25E8">
            <w:pPr>
              <w:jc w:val="left"/>
            </w:pPr>
            <w:r>
              <w:rPr>
                <w:b w:val="0"/>
                <w:bCs w:val="0"/>
                <w:color w:val="262626"/>
                <w:sz w:val="20"/>
                <w:szCs w:val="20"/>
              </w:rPr>
              <w:t>Gradient Boosting</w:t>
            </w:r>
          </w:p>
        </w:tc>
        <w:tc>
          <w:tcPr>
            <w:tcW w:w="1360" w:type="dxa"/>
            <w:tcMar>
              <w:top w:w="100" w:type="dxa"/>
              <w:left w:w="120" w:type="dxa"/>
              <w:bottom w:w="100" w:type="dxa"/>
              <w:right w:w="120" w:type="dxa"/>
            </w:tcMar>
            <w:vAlign w:val="center"/>
          </w:tcPr>
          <w:p w14:paraId="03115351">
            <w:pPr>
              <w:jc w:val="center"/>
            </w:pPr>
            <w:r>
              <w:rPr>
                <w:b w:val="0"/>
                <w:bCs w:val="0"/>
                <w:color w:val="262626"/>
                <w:sz w:val="20"/>
                <w:szCs w:val="20"/>
              </w:rPr>
              <w:t>96.45%</w:t>
            </w:r>
          </w:p>
        </w:tc>
        <w:tc>
          <w:tcPr>
            <w:tcW w:w="1360" w:type="dxa"/>
            <w:tcMar>
              <w:top w:w="100" w:type="dxa"/>
              <w:left w:w="120" w:type="dxa"/>
              <w:bottom w:w="100" w:type="dxa"/>
              <w:right w:w="120" w:type="dxa"/>
            </w:tcMar>
            <w:vAlign w:val="center"/>
          </w:tcPr>
          <w:p w14:paraId="119B7817">
            <w:pPr>
              <w:jc w:val="center"/>
            </w:pPr>
            <w:r>
              <w:rPr>
                <w:b w:val="0"/>
                <w:bCs w:val="0"/>
                <w:color w:val="262626"/>
                <w:sz w:val="20"/>
                <w:szCs w:val="20"/>
              </w:rPr>
              <w:t>95.02%</w:t>
            </w:r>
          </w:p>
        </w:tc>
        <w:tc>
          <w:tcPr>
            <w:tcW w:w="1200" w:type="dxa"/>
            <w:tcMar>
              <w:top w:w="100" w:type="dxa"/>
              <w:left w:w="120" w:type="dxa"/>
              <w:bottom w:w="100" w:type="dxa"/>
              <w:right w:w="120" w:type="dxa"/>
            </w:tcMar>
            <w:vAlign w:val="center"/>
          </w:tcPr>
          <w:p w14:paraId="3E6A647E">
            <w:pPr>
              <w:jc w:val="center"/>
            </w:pPr>
            <w:r>
              <w:rPr>
                <w:b w:val="0"/>
                <w:bCs w:val="0"/>
                <w:color w:val="262626"/>
                <w:sz w:val="20"/>
                <w:szCs w:val="20"/>
              </w:rPr>
              <w:t>82.15%</w:t>
            </w:r>
          </w:p>
        </w:tc>
        <w:tc>
          <w:tcPr>
            <w:tcW w:w="1300" w:type="dxa"/>
            <w:tcMar>
              <w:top w:w="100" w:type="dxa"/>
              <w:left w:w="120" w:type="dxa"/>
              <w:bottom w:w="100" w:type="dxa"/>
              <w:right w:w="120" w:type="dxa"/>
            </w:tcMar>
            <w:vAlign w:val="center"/>
          </w:tcPr>
          <w:p w14:paraId="6C9F7DFB">
            <w:pPr>
              <w:jc w:val="center"/>
            </w:pPr>
            <w:r>
              <w:rPr>
                <w:b w:val="0"/>
                <w:bCs w:val="0"/>
                <w:color w:val="262626"/>
                <w:sz w:val="20"/>
                <w:szCs w:val="20"/>
              </w:rPr>
              <w:t>88.12%</w:t>
            </w:r>
          </w:p>
        </w:tc>
        <w:tc>
          <w:tcPr>
            <w:tcW w:w="1580" w:type="dxa"/>
            <w:tcMar>
              <w:top w:w="100" w:type="dxa"/>
              <w:left w:w="120" w:type="dxa"/>
              <w:bottom w:w="100" w:type="dxa"/>
              <w:right w:w="120" w:type="dxa"/>
            </w:tcMar>
            <w:vAlign w:val="center"/>
          </w:tcPr>
          <w:p w14:paraId="07A9D135">
            <w:pPr>
              <w:jc w:val="center"/>
            </w:pPr>
            <w:r>
              <w:rPr>
                <w:b w:val="0"/>
                <w:bCs w:val="0"/>
                <w:color w:val="262626"/>
                <w:sz w:val="20"/>
                <w:szCs w:val="20"/>
              </w:rPr>
              <w:t>99.10%</w:t>
            </w:r>
          </w:p>
        </w:tc>
      </w:tr>
      <w:tr w14:paraId="5FBDEBB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60" w:type="dxa"/>
            <w:shd w:val="clear" w:color="auto" w:fill="F2F6FB"/>
            <w:tcMar>
              <w:top w:w="100" w:type="dxa"/>
              <w:left w:w="120" w:type="dxa"/>
              <w:bottom w:w="100" w:type="dxa"/>
              <w:right w:w="120" w:type="dxa"/>
            </w:tcMar>
            <w:vAlign w:val="center"/>
          </w:tcPr>
          <w:p w14:paraId="0B21C97A">
            <w:pPr>
              <w:jc w:val="left"/>
            </w:pPr>
            <w:r>
              <w:rPr>
                <w:b w:val="0"/>
                <w:bCs w:val="0"/>
                <w:color w:val="262626"/>
                <w:sz w:val="20"/>
                <w:szCs w:val="20"/>
              </w:rPr>
              <w:t>Random Forest</w:t>
            </w:r>
          </w:p>
        </w:tc>
        <w:tc>
          <w:tcPr>
            <w:tcW w:w="1360" w:type="dxa"/>
            <w:shd w:val="clear" w:color="auto" w:fill="F2F6FB"/>
            <w:tcMar>
              <w:top w:w="100" w:type="dxa"/>
              <w:left w:w="120" w:type="dxa"/>
              <w:bottom w:w="100" w:type="dxa"/>
              <w:right w:w="120" w:type="dxa"/>
            </w:tcMar>
            <w:vAlign w:val="center"/>
          </w:tcPr>
          <w:p w14:paraId="7B52F5E2">
            <w:pPr>
              <w:jc w:val="center"/>
            </w:pPr>
            <w:r>
              <w:rPr>
                <w:b w:val="0"/>
                <w:bCs w:val="0"/>
                <w:color w:val="262626"/>
                <w:sz w:val="20"/>
                <w:szCs w:val="20"/>
              </w:rPr>
              <w:t>95.51%</w:t>
            </w:r>
          </w:p>
        </w:tc>
        <w:tc>
          <w:tcPr>
            <w:tcW w:w="1360" w:type="dxa"/>
            <w:shd w:val="clear" w:color="auto" w:fill="F2F6FB"/>
            <w:tcMar>
              <w:top w:w="100" w:type="dxa"/>
              <w:left w:w="120" w:type="dxa"/>
              <w:bottom w:w="100" w:type="dxa"/>
              <w:right w:w="120" w:type="dxa"/>
            </w:tcMar>
            <w:vAlign w:val="center"/>
          </w:tcPr>
          <w:p w14:paraId="5BB9E537">
            <w:pPr>
              <w:jc w:val="center"/>
            </w:pPr>
            <w:r>
              <w:rPr>
                <w:b w:val="0"/>
                <w:bCs w:val="0"/>
                <w:color w:val="262626"/>
                <w:sz w:val="20"/>
                <w:szCs w:val="20"/>
              </w:rPr>
              <w:t>95.00%</w:t>
            </w:r>
          </w:p>
        </w:tc>
        <w:tc>
          <w:tcPr>
            <w:tcW w:w="1200" w:type="dxa"/>
            <w:shd w:val="clear" w:color="auto" w:fill="F2F6FB"/>
            <w:tcMar>
              <w:top w:w="100" w:type="dxa"/>
              <w:left w:w="120" w:type="dxa"/>
              <w:bottom w:w="100" w:type="dxa"/>
              <w:right w:w="120" w:type="dxa"/>
            </w:tcMar>
            <w:vAlign w:val="center"/>
          </w:tcPr>
          <w:p w14:paraId="66C391A2">
            <w:pPr>
              <w:jc w:val="center"/>
            </w:pPr>
            <w:r>
              <w:rPr>
                <w:b w:val="0"/>
                <w:bCs w:val="0"/>
                <w:color w:val="262626"/>
                <w:sz w:val="20"/>
                <w:szCs w:val="20"/>
              </w:rPr>
              <w:t>76.00%</w:t>
            </w:r>
          </w:p>
        </w:tc>
        <w:tc>
          <w:tcPr>
            <w:tcW w:w="1300" w:type="dxa"/>
            <w:shd w:val="clear" w:color="auto" w:fill="F2F6FB"/>
            <w:tcMar>
              <w:top w:w="100" w:type="dxa"/>
              <w:left w:w="120" w:type="dxa"/>
              <w:bottom w:w="100" w:type="dxa"/>
              <w:right w:w="120" w:type="dxa"/>
            </w:tcMar>
            <w:vAlign w:val="center"/>
          </w:tcPr>
          <w:p w14:paraId="6FBB2E29">
            <w:pPr>
              <w:jc w:val="center"/>
            </w:pPr>
            <w:r>
              <w:rPr>
                <w:b w:val="0"/>
                <w:bCs w:val="0"/>
                <w:color w:val="262626"/>
                <w:sz w:val="20"/>
                <w:szCs w:val="20"/>
              </w:rPr>
              <w:t>84.44%</w:t>
            </w:r>
          </w:p>
        </w:tc>
        <w:tc>
          <w:tcPr>
            <w:tcW w:w="1580" w:type="dxa"/>
            <w:shd w:val="clear" w:color="auto" w:fill="F2F6FB"/>
            <w:tcMar>
              <w:top w:w="100" w:type="dxa"/>
              <w:left w:w="120" w:type="dxa"/>
              <w:bottom w:w="100" w:type="dxa"/>
              <w:right w:w="120" w:type="dxa"/>
            </w:tcMar>
            <w:vAlign w:val="center"/>
          </w:tcPr>
          <w:p w14:paraId="5CF1D257">
            <w:pPr>
              <w:jc w:val="center"/>
            </w:pPr>
            <w:r>
              <w:rPr>
                <w:b w:val="0"/>
                <w:bCs w:val="0"/>
                <w:color w:val="262626"/>
                <w:sz w:val="20"/>
                <w:szCs w:val="20"/>
              </w:rPr>
              <w:t>98.87%</w:t>
            </w:r>
          </w:p>
        </w:tc>
      </w:tr>
      <w:tr w14:paraId="5BBC340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2560" w:type="dxa"/>
            <w:tcMar>
              <w:top w:w="100" w:type="dxa"/>
              <w:left w:w="120" w:type="dxa"/>
              <w:bottom w:w="100" w:type="dxa"/>
              <w:right w:w="120" w:type="dxa"/>
            </w:tcMar>
            <w:vAlign w:val="center"/>
          </w:tcPr>
          <w:p w14:paraId="04F93201">
            <w:pPr>
              <w:jc w:val="left"/>
            </w:pPr>
            <w:r>
              <w:rPr>
                <w:b w:val="0"/>
                <w:bCs w:val="0"/>
                <w:color w:val="262626"/>
                <w:sz w:val="20"/>
                <w:szCs w:val="20"/>
              </w:rPr>
              <w:t>Logistic Regression</w:t>
            </w:r>
          </w:p>
        </w:tc>
        <w:tc>
          <w:tcPr>
            <w:tcW w:w="1360" w:type="dxa"/>
            <w:tcMar>
              <w:top w:w="100" w:type="dxa"/>
              <w:left w:w="120" w:type="dxa"/>
              <w:bottom w:w="100" w:type="dxa"/>
              <w:right w:w="120" w:type="dxa"/>
            </w:tcMar>
            <w:vAlign w:val="center"/>
          </w:tcPr>
          <w:p w14:paraId="6E16B9E0">
            <w:pPr>
              <w:jc w:val="center"/>
            </w:pPr>
            <w:r>
              <w:rPr>
                <w:b w:val="0"/>
                <w:bCs w:val="0"/>
                <w:color w:val="262626"/>
                <w:sz w:val="20"/>
                <w:szCs w:val="20"/>
              </w:rPr>
              <w:t>91.46%</w:t>
            </w:r>
          </w:p>
        </w:tc>
        <w:tc>
          <w:tcPr>
            <w:tcW w:w="1360" w:type="dxa"/>
            <w:tcMar>
              <w:top w:w="100" w:type="dxa"/>
              <w:left w:w="120" w:type="dxa"/>
              <w:bottom w:w="100" w:type="dxa"/>
              <w:right w:w="120" w:type="dxa"/>
            </w:tcMar>
            <w:vAlign w:val="center"/>
          </w:tcPr>
          <w:p w14:paraId="01AD3989">
            <w:pPr>
              <w:jc w:val="center"/>
            </w:pPr>
            <w:r>
              <w:rPr>
                <w:b w:val="0"/>
                <w:bCs w:val="0"/>
                <w:color w:val="262626"/>
                <w:sz w:val="20"/>
                <w:szCs w:val="20"/>
              </w:rPr>
              <w:t>81.67%</w:t>
            </w:r>
          </w:p>
        </w:tc>
        <w:tc>
          <w:tcPr>
            <w:tcW w:w="1200" w:type="dxa"/>
            <w:tcMar>
              <w:top w:w="100" w:type="dxa"/>
              <w:left w:w="120" w:type="dxa"/>
              <w:bottom w:w="100" w:type="dxa"/>
              <w:right w:w="120" w:type="dxa"/>
            </w:tcMar>
            <w:vAlign w:val="center"/>
          </w:tcPr>
          <w:p w14:paraId="605F9222">
            <w:pPr>
              <w:jc w:val="center"/>
            </w:pPr>
            <w:r>
              <w:rPr>
                <w:b w:val="0"/>
                <w:bCs w:val="0"/>
                <w:color w:val="262626"/>
                <w:sz w:val="20"/>
                <w:szCs w:val="20"/>
              </w:rPr>
              <w:t>60.31%</w:t>
            </w:r>
          </w:p>
        </w:tc>
        <w:tc>
          <w:tcPr>
            <w:tcW w:w="1300" w:type="dxa"/>
            <w:tcMar>
              <w:top w:w="100" w:type="dxa"/>
              <w:left w:w="120" w:type="dxa"/>
              <w:bottom w:w="100" w:type="dxa"/>
              <w:right w:w="120" w:type="dxa"/>
            </w:tcMar>
            <w:vAlign w:val="center"/>
          </w:tcPr>
          <w:p w14:paraId="77CEADE9">
            <w:pPr>
              <w:jc w:val="center"/>
            </w:pPr>
            <w:r>
              <w:rPr>
                <w:b w:val="0"/>
                <w:bCs w:val="0"/>
                <w:color w:val="262626"/>
                <w:sz w:val="20"/>
                <w:szCs w:val="20"/>
              </w:rPr>
              <w:t>69.38%</w:t>
            </w:r>
          </w:p>
        </w:tc>
        <w:tc>
          <w:tcPr>
            <w:tcW w:w="1580" w:type="dxa"/>
            <w:tcMar>
              <w:top w:w="100" w:type="dxa"/>
              <w:left w:w="120" w:type="dxa"/>
              <w:bottom w:w="100" w:type="dxa"/>
              <w:right w:w="120" w:type="dxa"/>
            </w:tcMar>
            <w:vAlign w:val="center"/>
          </w:tcPr>
          <w:p w14:paraId="3B00A908">
            <w:pPr>
              <w:jc w:val="center"/>
            </w:pPr>
            <w:r>
              <w:rPr>
                <w:b w:val="0"/>
                <w:bCs w:val="0"/>
                <w:color w:val="262626"/>
                <w:sz w:val="20"/>
                <w:szCs w:val="20"/>
              </w:rPr>
              <w:t>93.18%</w:t>
            </w:r>
          </w:p>
        </w:tc>
      </w:tr>
    </w:tbl>
    <w:p w14:paraId="506519FB">
      <w:pPr>
        <w:spacing w:before="200"/>
      </w:pPr>
    </w:p>
    <w:p w14:paraId="3621EE01">
      <w:pPr>
        <w:spacing w:after="160" w:line="276" w:lineRule="auto"/>
        <w:jc w:val="both"/>
      </w:pPr>
      <w:r>
        <w:rPr>
          <w:b w:val="0"/>
          <w:bCs w:val="0"/>
          <w:i w:val="0"/>
          <w:iCs w:val="0"/>
          <w:color w:val="262626"/>
          <w:sz w:val="22"/>
          <w:szCs w:val="22"/>
        </w:rPr>
        <w:t>Gradient Boosting was selected as the best-performing model. It achieved the highest scores across every metric, most notably recall (82.15%) and ROC-AUC (99.10%), indicating a strong ability to correctly identify customers who are actually going to churn while maintaining high precision.</w:t>
      </w:r>
    </w:p>
    <w:p w14:paraId="31738801">
      <w:pPr>
        <w:pStyle w:val="2"/>
        <w:pBdr>
          <w:bottom w:val="single" w:color="2E74B5" w:sz="8" w:space="4"/>
        </w:pBdr>
        <w:spacing w:before="480" w:after="240"/>
      </w:pPr>
      <w:r>
        <w:rPr>
          <w:b/>
          <w:bCs/>
          <w:color w:val="1F3864"/>
          <w:sz w:val="30"/>
          <w:szCs w:val="30"/>
        </w:rPr>
        <w:t>1</w:t>
      </w:r>
      <w:r>
        <w:rPr>
          <w:rFonts w:hint="default"/>
          <w:b/>
          <w:bCs/>
          <w:color w:val="1F3864"/>
          <w:sz w:val="30"/>
          <w:szCs w:val="30"/>
          <w:lang w:val="en-IN"/>
        </w:rPr>
        <w:t>2</w:t>
      </w:r>
      <w:r>
        <w:rPr>
          <w:b/>
          <w:bCs/>
          <w:color w:val="1F3864"/>
          <w:sz w:val="30"/>
          <w:szCs w:val="30"/>
        </w:rPr>
        <w:t>. Confusion Matrix Analysis</w:t>
      </w:r>
    </w:p>
    <w:p w14:paraId="372139FE">
      <w:pPr>
        <w:spacing w:after="160" w:line="276" w:lineRule="auto"/>
        <w:jc w:val="both"/>
      </w:pPr>
      <w:r>
        <w:rPr>
          <w:b w:val="0"/>
          <w:bCs w:val="0"/>
          <w:i w:val="0"/>
          <w:iCs w:val="0"/>
          <w:color w:val="262626"/>
          <w:sz w:val="22"/>
          <w:szCs w:val="22"/>
        </w:rPr>
        <w:t>Confusion matrices for all three models on the test set (2,026 records) are summarized below (rows = actual class, columns = predicted class).</w:t>
      </w:r>
    </w:p>
    <w:p w14:paraId="7608A282">
      <w:pPr>
        <w:pStyle w:val="3"/>
        <w:spacing w:before="300" w:after="160"/>
      </w:pPr>
      <w:r>
        <w:rPr>
          <w:b/>
          <w:bCs/>
          <w:color w:val="2E74B5"/>
          <w:sz w:val="24"/>
          <w:szCs w:val="24"/>
        </w:rPr>
        <w:t>1</w:t>
      </w:r>
      <w:r>
        <w:rPr>
          <w:rFonts w:hint="default"/>
          <w:b/>
          <w:bCs/>
          <w:color w:val="2E74B5"/>
          <w:sz w:val="24"/>
          <w:szCs w:val="24"/>
          <w:lang w:val="en-IN"/>
        </w:rPr>
        <w:t>2</w:t>
      </w:r>
      <w:r>
        <w:rPr>
          <w:b/>
          <w:bCs/>
          <w:color w:val="2E74B5"/>
          <w:sz w:val="24"/>
          <w:szCs w:val="24"/>
        </w:rPr>
        <w:t>.1 Logistic Regression</w:t>
      </w:r>
    </w:p>
    <w:tbl>
      <w:tblPr>
        <w:tblStyle w:val="9"/>
        <w:tblW w:w="95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400"/>
        <w:gridCol w:w="3080"/>
        <w:gridCol w:w="3080"/>
      </w:tblGrid>
      <w:tr w14:paraId="009125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400" w:type="dxa"/>
            <w:shd w:val="clear" w:color="auto" w:fill="1F3864"/>
            <w:tcMar>
              <w:top w:w="100" w:type="dxa"/>
              <w:left w:w="120" w:type="dxa"/>
              <w:bottom w:w="100" w:type="dxa"/>
              <w:right w:w="120" w:type="dxa"/>
            </w:tcMar>
            <w:vAlign w:val="center"/>
          </w:tcPr>
          <w:p w14:paraId="020FD0C5">
            <w:pPr>
              <w:jc w:val="left"/>
            </w:pPr>
            <w:r>
              <w:rPr>
                <w:b/>
                <w:bCs/>
                <w:color w:val="FFFFFF"/>
                <w:sz w:val="20"/>
                <w:szCs w:val="20"/>
              </w:rPr>
              <w:t>Actual \ Predicted</w:t>
            </w:r>
          </w:p>
        </w:tc>
        <w:tc>
          <w:tcPr>
            <w:tcW w:w="3080" w:type="dxa"/>
            <w:shd w:val="clear" w:color="auto" w:fill="1F3864"/>
            <w:tcMar>
              <w:top w:w="100" w:type="dxa"/>
              <w:left w:w="120" w:type="dxa"/>
              <w:bottom w:w="100" w:type="dxa"/>
              <w:right w:w="120" w:type="dxa"/>
            </w:tcMar>
            <w:vAlign w:val="center"/>
          </w:tcPr>
          <w:p w14:paraId="53952EF7">
            <w:pPr>
              <w:jc w:val="center"/>
            </w:pPr>
            <w:r>
              <w:rPr>
                <w:b/>
                <w:bCs/>
                <w:color w:val="FFFFFF"/>
                <w:sz w:val="20"/>
                <w:szCs w:val="20"/>
              </w:rPr>
              <w:t>Predicted Existing</w:t>
            </w:r>
          </w:p>
        </w:tc>
        <w:tc>
          <w:tcPr>
            <w:tcW w:w="3080" w:type="dxa"/>
            <w:shd w:val="clear" w:color="auto" w:fill="1F3864"/>
            <w:tcMar>
              <w:top w:w="100" w:type="dxa"/>
              <w:left w:w="120" w:type="dxa"/>
              <w:bottom w:w="100" w:type="dxa"/>
              <w:right w:w="120" w:type="dxa"/>
            </w:tcMar>
            <w:vAlign w:val="center"/>
          </w:tcPr>
          <w:p w14:paraId="7BF20FB3">
            <w:pPr>
              <w:jc w:val="center"/>
            </w:pPr>
            <w:r>
              <w:rPr>
                <w:b/>
                <w:bCs/>
                <w:color w:val="FFFFFF"/>
                <w:sz w:val="20"/>
                <w:szCs w:val="20"/>
              </w:rPr>
              <w:t>Predicted Attrited</w:t>
            </w:r>
          </w:p>
        </w:tc>
      </w:tr>
      <w:tr w14:paraId="2562F6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00" w:type="dxa"/>
            <w:tcMar>
              <w:top w:w="100" w:type="dxa"/>
              <w:left w:w="120" w:type="dxa"/>
              <w:bottom w:w="100" w:type="dxa"/>
              <w:right w:w="120" w:type="dxa"/>
            </w:tcMar>
            <w:vAlign w:val="center"/>
          </w:tcPr>
          <w:p w14:paraId="4F4FF3D2">
            <w:pPr>
              <w:jc w:val="left"/>
            </w:pPr>
            <w:r>
              <w:rPr>
                <w:b w:val="0"/>
                <w:bCs w:val="0"/>
                <w:color w:val="262626"/>
                <w:sz w:val="20"/>
                <w:szCs w:val="20"/>
              </w:rPr>
              <w:t>Actual Existing</w:t>
            </w:r>
          </w:p>
        </w:tc>
        <w:tc>
          <w:tcPr>
            <w:tcW w:w="3080" w:type="dxa"/>
            <w:tcMar>
              <w:top w:w="100" w:type="dxa"/>
              <w:left w:w="120" w:type="dxa"/>
              <w:bottom w:w="100" w:type="dxa"/>
              <w:right w:w="120" w:type="dxa"/>
            </w:tcMar>
            <w:vAlign w:val="center"/>
          </w:tcPr>
          <w:p w14:paraId="6738E030">
            <w:pPr>
              <w:jc w:val="center"/>
            </w:pPr>
            <w:r>
              <w:rPr>
                <w:b w:val="0"/>
                <w:bCs w:val="0"/>
                <w:color w:val="262626"/>
                <w:sz w:val="20"/>
                <w:szCs w:val="20"/>
              </w:rPr>
              <w:t>1,657</w:t>
            </w:r>
          </w:p>
        </w:tc>
        <w:tc>
          <w:tcPr>
            <w:tcW w:w="3080" w:type="dxa"/>
            <w:tcMar>
              <w:top w:w="100" w:type="dxa"/>
              <w:left w:w="120" w:type="dxa"/>
              <w:bottom w:w="100" w:type="dxa"/>
              <w:right w:w="120" w:type="dxa"/>
            </w:tcMar>
            <w:vAlign w:val="center"/>
          </w:tcPr>
          <w:p w14:paraId="04EE1373">
            <w:pPr>
              <w:jc w:val="center"/>
            </w:pPr>
            <w:r>
              <w:rPr>
                <w:b w:val="0"/>
                <w:bCs w:val="0"/>
                <w:color w:val="262626"/>
                <w:sz w:val="20"/>
                <w:szCs w:val="20"/>
              </w:rPr>
              <w:t>44</w:t>
            </w:r>
          </w:p>
        </w:tc>
      </w:tr>
      <w:tr w14:paraId="4E29816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00" w:type="dxa"/>
            <w:shd w:val="clear" w:color="auto" w:fill="F2F6FB"/>
            <w:tcMar>
              <w:top w:w="100" w:type="dxa"/>
              <w:left w:w="120" w:type="dxa"/>
              <w:bottom w:w="100" w:type="dxa"/>
              <w:right w:w="120" w:type="dxa"/>
            </w:tcMar>
            <w:vAlign w:val="center"/>
          </w:tcPr>
          <w:p w14:paraId="0B88F22D">
            <w:pPr>
              <w:jc w:val="left"/>
            </w:pPr>
            <w:r>
              <w:rPr>
                <w:b w:val="0"/>
                <w:bCs w:val="0"/>
                <w:color w:val="262626"/>
                <w:sz w:val="20"/>
                <w:szCs w:val="20"/>
              </w:rPr>
              <w:t>Actual Attrited</w:t>
            </w:r>
          </w:p>
        </w:tc>
        <w:tc>
          <w:tcPr>
            <w:tcW w:w="3080" w:type="dxa"/>
            <w:shd w:val="clear" w:color="auto" w:fill="F2F6FB"/>
            <w:tcMar>
              <w:top w:w="100" w:type="dxa"/>
              <w:left w:w="120" w:type="dxa"/>
              <w:bottom w:w="100" w:type="dxa"/>
              <w:right w:w="120" w:type="dxa"/>
            </w:tcMar>
            <w:vAlign w:val="center"/>
          </w:tcPr>
          <w:p w14:paraId="74714A0B">
            <w:pPr>
              <w:jc w:val="center"/>
            </w:pPr>
            <w:r>
              <w:rPr>
                <w:b w:val="0"/>
                <w:bCs w:val="0"/>
                <w:color w:val="262626"/>
                <w:sz w:val="20"/>
                <w:szCs w:val="20"/>
              </w:rPr>
              <w:t>129</w:t>
            </w:r>
          </w:p>
        </w:tc>
        <w:tc>
          <w:tcPr>
            <w:tcW w:w="3080" w:type="dxa"/>
            <w:shd w:val="clear" w:color="auto" w:fill="F2F6FB"/>
            <w:tcMar>
              <w:top w:w="100" w:type="dxa"/>
              <w:left w:w="120" w:type="dxa"/>
              <w:bottom w:w="100" w:type="dxa"/>
              <w:right w:w="120" w:type="dxa"/>
            </w:tcMar>
            <w:vAlign w:val="center"/>
          </w:tcPr>
          <w:p w14:paraId="18B3281A">
            <w:pPr>
              <w:jc w:val="center"/>
            </w:pPr>
            <w:r>
              <w:rPr>
                <w:b w:val="0"/>
                <w:bCs w:val="0"/>
                <w:color w:val="262626"/>
                <w:sz w:val="20"/>
                <w:szCs w:val="20"/>
              </w:rPr>
              <w:t>196</w:t>
            </w:r>
          </w:p>
        </w:tc>
      </w:tr>
    </w:tbl>
    <w:p w14:paraId="760073DD">
      <w:pPr>
        <w:spacing w:before="200"/>
      </w:pPr>
    </w:p>
    <w:p w14:paraId="4552B758">
      <w:pPr>
        <w:pStyle w:val="3"/>
        <w:spacing w:before="300" w:after="160"/>
      </w:pPr>
      <w:r>
        <w:rPr>
          <w:b/>
          <w:bCs/>
          <w:color w:val="2E74B5"/>
          <w:sz w:val="24"/>
          <w:szCs w:val="24"/>
        </w:rPr>
        <w:t>1</w:t>
      </w:r>
      <w:r>
        <w:rPr>
          <w:rFonts w:hint="default"/>
          <w:b/>
          <w:bCs/>
          <w:color w:val="2E74B5"/>
          <w:sz w:val="24"/>
          <w:szCs w:val="24"/>
          <w:lang w:val="en-IN"/>
        </w:rPr>
        <w:t>2</w:t>
      </w:r>
      <w:r>
        <w:rPr>
          <w:b/>
          <w:bCs/>
          <w:color w:val="2E74B5"/>
          <w:sz w:val="24"/>
          <w:szCs w:val="24"/>
        </w:rPr>
        <w:t>.2 Random Forest</w:t>
      </w:r>
    </w:p>
    <w:tbl>
      <w:tblPr>
        <w:tblStyle w:val="9"/>
        <w:tblW w:w="95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400"/>
        <w:gridCol w:w="3080"/>
        <w:gridCol w:w="3080"/>
      </w:tblGrid>
      <w:tr w14:paraId="1B506A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400" w:type="dxa"/>
            <w:shd w:val="clear" w:color="auto" w:fill="1F3864"/>
            <w:tcMar>
              <w:top w:w="100" w:type="dxa"/>
              <w:left w:w="120" w:type="dxa"/>
              <w:bottom w:w="100" w:type="dxa"/>
              <w:right w:w="120" w:type="dxa"/>
            </w:tcMar>
            <w:vAlign w:val="center"/>
          </w:tcPr>
          <w:p w14:paraId="798FB6E9">
            <w:pPr>
              <w:jc w:val="left"/>
            </w:pPr>
            <w:r>
              <w:rPr>
                <w:b/>
                <w:bCs/>
                <w:color w:val="FFFFFF"/>
                <w:sz w:val="20"/>
                <w:szCs w:val="20"/>
              </w:rPr>
              <w:t>Actual \ Predicted</w:t>
            </w:r>
          </w:p>
        </w:tc>
        <w:tc>
          <w:tcPr>
            <w:tcW w:w="3080" w:type="dxa"/>
            <w:shd w:val="clear" w:color="auto" w:fill="1F3864"/>
            <w:tcMar>
              <w:top w:w="100" w:type="dxa"/>
              <w:left w:w="120" w:type="dxa"/>
              <w:bottom w:w="100" w:type="dxa"/>
              <w:right w:w="120" w:type="dxa"/>
            </w:tcMar>
            <w:vAlign w:val="center"/>
          </w:tcPr>
          <w:p w14:paraId="08B2F721">
            <w:pPr>
              <w:jc w:val="center"/>
            </w:pPr>
            <w:r>
              <w:rPr>
                <w:b/>
                <w:bCs/>
                <w:color w:val="FFFFFF"/>
                <w:sz w:val="20"/>
                <w:szCs w:val="20"/>
              </w:rPr>
              <w:t>Predicted Existing</w:t>
            </w:r>
          </w:p>
        </w:tc>
        <w:tc>
          <w:tcPr>
            <w:tcW w:w="3080" w:type="dxa"/>
            <w:shd w:val="clear" w:color="auto" w:fill="1F3864"/>
            <w:tcMar>
              <w:top w:w="100" w:type="dxa"/>
              <w:left w:w="120" w:type="dxa"/>
              <w:bottom w:w="100" w:type="dxa"/>
              <w:right w:w="120" w:type="dxa"/>
            </w:tcMar>
            <w:vAlign w:val="center"/>
          </w:tcPr>
          <w:p w14:paraId="367C43F4">
            <w:pPr>
              <w:jc w:val="center"/>
            </w:pPr>
            <w:r>
              <w:rPr>
                <w:b/>
                <w:bCs/>
                <w:color w:val="FFFFFF"/>
                <w:sz w:val="20"/>
                <w:szCs w:val="20"/>
              </w:rPr>
              <w:t>Predicted Attrited</w:t>
            </w:r>
          </w:p>
        </w:tc>
      </w:tr>
      <w:tr w14:paraId="0ECB3A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00" w:type="dxa"/>
            <w:tcMar>
              <w:top w:w="100" w:type="dxa"/>
              <w:left w:w="120" w:type="dxa"/>
              <w:bottom w:w="100" w:type="dxa"/>
              <w:right w:w="120" w:type="dxa"/>
            </w:tcMar>
            <w:vAlign w:val="center"/>
          </w:tcPr>
          <w:p w14:paraId="784BCABD">
            <w:pPr>
              <w:jc w:val="left"/>
            </w:pPr>
            <w:r>
              <w:rPr>
                <w:b w:val="0"/>
                <w:bCs w:val="0"/>
                <w:color w:val="262626"/>
                <w:sz w:val="20"/>
                <w:szCs w:val="20"/>
              </w:rPr>
              <w:t>Actual Existing</w:t>
            </w:r>
          </w:p>
        </w:tc>
        <w:tc>
          <w:tcPr>
            <w:tcW w:w="3080" w:type="dxa"/>
            <w:tcMar>
              <w:top w:w="100" w:type="dxa"/>
              <w:left w:w="120" w:type="dxa"/>
              <w:bottom w:w="100" w:type="dxa"/>
              <w:right w:w="120" w:type="dxa"/>
            </w:tcMar>
            <w:vAlign w:val="center"/>
          </w:tcPr>
          <w:p w14:paraId="2A262E89">
            <w:pPr>
              <w:jc w:val="center"/>
            </w:pPr>
            <w:r>
              <w:rPr>
                <w:b w:val="0"/>
                <w:bCs w:val="0"/>
                <w:color w:val="262626"/>
                <w:sz w:val="20"/>
                <w:szCs w:val="20"/>
              </w:rPr>
              <w:t>1,688</w:t>
            </w:r>
          </w:p>
        </w:tc>
        <w:tc>
          <w:tcPr>
            <w:tcW w:w="3080" w:type="dxa"/>
            <w:tcMar>
              <w:top w:w="100" w:type="dxa"/>
              <w:left w:w="120" w:type="dxa"/>
              <w:bottom w:w="100" w:type="dxa"/>
              <w:right w:w="120" w:type="dxa"/>
            </w:tcMar>
            <w:vAlign w:val="center"/>
          </w:tcPr>
          <w:p w14:paraId="7C03AE18">
            <w:pPr>
              <w:jc w:val="center"/>
            </w:pPr>
            <w:r>
              <w:rPr>
                <w:b w:val="0"/>
                <w:bCs w:val="0"/>
                <w:color w:val="262626"/>
                <w:sz w:val="20"/>
                <w:szCs w:val="20"/>
              </w:rPr>
              <w:t>13</w:t>
            </w:r>
          </w:p>
        </w:tc>
      </w:tr>
      <w:tr w14:paraId="4E3B2A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00" w:type="dxa"/>
            <w:shd w:val="clear" w:color="auto" w:fill="F2F6FB"/>
            <w:tcMar>
              <w:top w:w="100" w:type="dxa"/>
              <w:left w:w="120" w:type="dxa"/>
              <w:bottom w:w="100" w:type="dxa"/>
              <w:right w:w="120" w:type="dxa"/>
            </w:tcMar>
            <w:vAlign w:val="center"/>
          </w:tcPr>
          <w:p w14:paraId="1C4DCDCD">
            <w:pPr>
              <w:jc w:val="left"/>
            </w:pPr>
            <w:r>
              <w:rPr>
                <w:b w:val="0"/>
                <w:bCs w:val="0"/>
                <w:color w:val="262626"/>
                <w:sz w:val="20"/>
                <w:szCs w:val="20"/>
              </w:rPr>
              <w:t>Actual Attrited</w:t>
            </w:r>
          </w:p>
        </w:tc>
        <w:tc>
          <w:tcPr>
            <w:tcW w:w="3080" w:type="dxa"/>
            <w:shd w:val="clear" w:color="auto" w:fill="F2F6FB"/>
            <w:tcMar>
              <w:top w:w="100" w:type="dxa"/>
              <w:left w:w="120" w:type="dxa"/>
              <w:bottom w:w="100" w:type="dxa"/>
              <w:right w:w="120" w:type="dxa"/>
            </w:tcMar>
            <w:vAlign w:val="center"/>
          </w:tcPr>
          <w:p w14:paraId="751A79CE">
            <w:pPr>
              <w:jc w:val="center"/>
            </w:pPr>
            <w:r>
              <w:rPr>
                <w:b w:val="0"/>
                <w:bCs w:val="0"/>
                <w:color w:val="262626"/>
                <w:sz w:val="20"/>
                <w:szCs w:val="20"/>
              </w:rPr>
              <w:t>78</w:t>
            </w:r>
          </w:p>
        </w:tc>
        <w:tc>
          <w:tcPr>
            <w:tcW w:w="3080" w:type="dxa"/>
            <w:shd w:val="clear" w:color="auto" w:fill="F2F6FB"/>
            <w:tcMar>
              <w:top w:w="100" w:type="dxa"/>
              <w:left w:w="120" w:type="dxa"/>
              <w:bottom w:w="100" w:type="dxa"/>
              <w:right w:w="120" w:type="dxa"/>
            </w:tcMar>
            <w:vAlign w:val="center"/>
          </w:tcPr>
          <w:p w14:paraId="6255781E">
            <w:pPr>
              <w:jc w:val="center"/>
            </w:pPr>
            <w:r>
              <w:rPr>
                <w:b w:val="0"/>
                <w:bCs w:val="0"/>
                <w:color w:val="262626"/>
                <w:sz w:val="20"/>
                <w:szCs w:val="20"/>
              </w:rPr>
              <w:t>247</w:t>
            </w:r>
          </w:p>
        </w:tc>
      </w:tr>
    </w:tbl>
    <w:p w14:paraId="6EBF8E5C">
      <w:pPr>
        <w:spacing w:before="200"/>
      </w:pPr>
    </w:p>
    <w:p w14:paraId="4D238071">
      <w:pPr>
        <w:pStyle w:val="3"/>
        <w:spacing w:before="300" w:after="160"/>
      </w:pPr>
      <w:r>
        <w:rPr>
          <w:b/>
          <w:bCs/>
          <w:color w:val="2E74B5"/>
          <w:sz w:val="24"/>
          <w:szCs w:val="24"/>
        </w:rPr>
        <w:t>1</w:t>
      </w:r>
      <w:r>
        <w:rPr>
          <w:rFonts w:hint="default"/>
          <w:b/>
          <w:bCs/>
          <w:color w:val="2E74B5"/>
          <w:sz w:val="24"/>
          <w:szCs w:val="24"/>
          <w:lang w:val="en-IN"/>
        </w:rPr>
        <w:t>2</w:t>
      </w:r>
      <w:r>
        <w:rPr>
          <w:b/>
          <w:bCs/>
          <w:color w:val="2E74B5"/>
          <w:sz w:val="24"/>
          <w:szCs w:val="24"/>
        </w:rPr>
        <w:t>.3 Gradient Boosting</w:t>
      </w:r>
    </w:p>
    <w:tbl>
      <w:tblPr>
        <w:tblStyle w:val="9"/>
        <w:tblW w:w="95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400"/>
        <w:gridCol w:w="3080"/>
        <w:gridCol w:w="3080"/>
      </w:tblGrid>
      <w:tr w14:paraId="74A3DF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400" w:type="dxa"/>
            <w:shd w:val="clear" w:color="auto" w:fill="1F3864"/>
            <w:tcMar>
              <w:top w:w="100" w:type="dxa"/>
              <w:left w:w="120" w:type="dxa"/>
              <w:bottom w:w="100" w:type="dxa"/>
              <w:right w:w="120" w:type="dxa"/>
            </w:tcMar>
            <w:vAlign w:val="center"/>
          </w:tcPr>
          <w:p w14:paraId="313D04E9">
            <w:pPr>
              <w:jc w:val="left"/>
            </w:pPr>
            <w:r>
              <w:rPr>
                <w:b/>
                <w:bCs/>
                <w:color w:val="FFFFFF"/>
                <w:sz w:val="20"/>
                <w:szCs w:val="20"/>
              </w:rPr>
              <w:t>Actual \ Predicted</w:t>
            </w:r>
          </w:p>
        </w:tc>
        <w:tc>
          <w:tcPr>
            <w:tcW w:w="3080" w:type="dxa"/>
            <w:shd w:val="clear" w:color="auto" w:fill="1F3864"/>
            <w:tcMar>
              <w:top w:w="100" w:type="dxa"/>
              <w:left w:w="120" w:type="dxa"/>
              <w:bottom w:w="100" w:type="dxa"/>
              <w:right w:w="120" w:type="dxa"/>
            </w:tcMar>
            <w:vAlign w:val="center"/>
          </w:tcPr>
          <w:p w14:paraId="52F5D56C">
            <w:pPr>
              <w:jc w:val="center"/>
            </w:pPr>
            <w:r>
              <w:rPr>
                <w:b/>
                <w:bCs/>
                <w:color w:val="FFFFFF"/>
                <w:sz w:val="20"/>
                <w:szCs w:val="20"/>
              </w:rPr>
              <w:t>Predicted Existing</w:t>
            </w:r>
          </w:p>
        </w:tc>
        <w:tc>
          <w:tcPr>
            <w:tcW w:w="3080" w:type="dxa"/>
            <w:shd w:val="clear" w:color="auto" w:fill="1F3864"/>
            <w:tcMar>
              <w:top w:w="100" w:type="dxa"/>
              <w:left w:w="120" w:type="dxa"/>
              <w:bottom w:w="100" w:type="dxa"/>
              <w:right w:w="120" w:type="dxa"/>
            </w:tcMar>
            <w:vAlign w:val="center"/>
          </w:tcPr>
          <w:p w14:paraId="73BB88C3">
            <w:pPr>
              <w:jc w:val="center"/>
            </w:pPr>
            <w:r>
              <w:rPr>
                <w:b/>
                <w:bCs/>
                <w:color w:val="FFFFFF"/>
                <w:sz w:val="20"/>
                <w:szCs w:val="20"/>
              </w:rPr>
              <w:t>Predicted Attrited</w:t>
            </w:r>
          </w:p>
        </w:tc>
      </w:tr>
      <w:tr w14:paraId="08A4E2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00" w:type="dxa"/>
            <w:tcMar>
              <w:top w:w="100" w:type="dxa"/>
              <w:left w:w="120" w:type="dxa"/>
              <w:bottom w:w="100" w:type="dxa"/>
              <w:right w:w="120" w:type="dxa"/>
            </w:tcMar>
            <w:vAlign w:val="center"/>
          </w:tcPr>
          <w:p w14:paraId="24A6DB7D">
            <w:pPr>
              <w:jc w:val="left"/>
            </w:pPr>
            <w:r>
              <w:rPr>
                <w:b w:val="0"/>
                <w:bCs w:val="0"/>
                <w:color w:val="262626"/>
                <w:sz w:val="20"/>
                <w:szCs w:val="20"/>
              </w:rPr>
              <w:t>Actual Existing</w:t>
            </w:r>
          </w:p>
        </w:tc>
        <w:tc>
          <w:tcPr>
            <w:tcW w:w="3080" w:type="dxa"/>
            <w:tcMar>
              <w:top w:w="100" w:type="dxa"/>
              <w:left w:w="120" w:type="dxa"/>
              <w:bottom w:w="100" w:type="dxa"/>
              <w:right w:w="120" w:type="dxa"/>
            </w:tcMar>
            <w:vAlign w:val="center"/>
          </w:tcPr>
          <w:p w14:paraId="331AF072">
            <w:pPr>
              <w:jc w:val="center"/>
            </w:pPr>
            <w:r>
              <w:rPr>
                <w:b w:val="0"/>
                <w:bCs w:val="0"/>
                <w:color w:val="262626"/>
                <w:sz w:val="20"/>
                <w:szCs w:val="20"/>
              </w:rPr>
              <w:t>1,687</w:t>
            </w:r>
          </w:p>
        </w:tc>
        <w:tc>
          <w:tcPr>
            <w:tcW w:w="3080" w:type="dxa"/>
            <w:tcMar>
              <w:top w:w="100" w:type="dxa"/>
              <w:left w:w="120" w:type="dxa"/>
              <w:bottom w:w="100" w:type="dxa"/>
              <w:right w:w="120" w:type="dxa"/>
            </w:tcMar>
            <w:vAlign w:val="center"/>
          </w:tcPr>
          <w:p w14:paraId="12BE4DCF">
            <w:pPr>
              <w:jc w:val="center"/>
            </w:pPr>
            <w:r>
              <w:rPr>
                <w:b w:val="0"/>
                <w:bCs w:val="0"/>
                <w:color w:val="262626"/>
                <w:sz w:val="20"/>
                <w:szCs w:val="20"/>
              </w:rPr>
              <w:t>14</w:t>
            </w:r>
          </w:p>
        </w:tc>
      </w:tr>
      <w:tr w14:paraId="0217FA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400" w:type="dxa"/>
            <w:shd w:val="clear" w:color="auto" w:fill="F2F6FB"/>
            <w:tcMar>
              <w:top w:w="100" w:type="dxa"/>
              <w:left w:w="120" w:type="dxa"/>
              <w:bottom w:w="100" w:type="dxa"/>
              <w:right w:w="120" w:type="dxa"/>
            </w:tcMar>
            <w:vAlign w:val="center"/>
          </w:tcPr>
          <w:p w14:paraId="515DE243">
            <w:pPr>
              <w:jc w:val="left"/>
            </w:pPr>
            <w:r>
              <w:rPr>
                <w:b w:val="0"/>
                <w:bCs w:val="0"/>
                <w:color w:val="262626"/>
                <w:sz w:val="20"/>
                <w:szCs w:val="20"/>
              </w:rPr>
              <w:t>Actual Attrited</w:t>
            </w:r>
          </w:p>
        </w:tc>
        <w:tc>
          <w:tcPr>
            <w:tcW w:w="3080" w:type="dxa"/>
            <w:shd w:val="clear" w:color="auto" w:fill="F2F6FB"/>
            <w:tcMar>
              <w:top w:w="100" w:type="dxa"/>
              <w:left w:w="120" w:type="dxa"/>
              <w:bottom w:w="100" w:type="dxa"/>
              <w:right w:w="120" w:type="dxa"/>
            </w:tcMar>
            <w:vAlign w:val="center"/>
          </w:tcPr>
          <w:p w14:paraId="4CEC01F1">
            <w:pPr>
              <w:jc w:val="center"/>
            </w:pPr>
            <w:r>
              <w:rPr>
                <w:b w:val="0"/>
                <w:bCs w:val="0"/>
                <w:color w:val="262626"/>
                <w:sz w:val="20"/>
                <w:szCs w:val="20"/>
              </w:rPr>
              <w:t>58</w:t>
            </w:r>
          </w:p>
        </w:tc>
        <w:tc>
          <w:tcPr>
            <w:tcW w:w="3080" w:type="dxa"/>
            <w:shd w:val="clear" w:color="auto" w:fill="F2F6FB"/>
            <w:tcMar>
              <w:top w:w="100" w:type="dxa"/>
              <w:left w:w="120" w:type="dxa"/>
              <w:bottom w:w="100" w:type="dxa"/>
              <w:right w:w="120" w:type="dxa"/>
            </w:tcMar>
            <w:vAlign w:val="center"/>
          </w:tcPr>
          <w:p w14:paraId="177FA8A2">
            <w:pPr>
              <w:jc w:val="center"/>
            </w:pPr>
            <w:r>
              <w:rPr>
                <w:b w:val="0"/>
                <w:bCs w:val="0"/>
                <w:color w:val="262626"/>
                <w:sz w:val="20"/>
                <w:szCs w:val="20"/>
              </w:rPr>
              <w:t>267</w:t>
            </w:r>
          </w:p>
        </w:tc>
      </w:tr>
    </w:tbl>
    <w:p w14:paraId="6693A270">
      <w:pPr>
        <w:spacing w:before="200"/>
      </w:pPr>
    </w:p>
    <w:tbl>
      <w:tblPr>
        <w:tblStyle w:val="9"/>
        <w:tblW w:w="9360" w:type="dxa"/>
        <w:tblInd w:w="0" w:type="dxa"/>
        <w:tblBorders>
          <w:top w:val="dashed" w:color="8FAADC" w:sz="6" w:space="0"/>
          <w:left w:val="dashed" w:color="8FAADC" w:sz="6" w:space="0"/>
          <w:bottom w:val="dashed" w:color="8FAADC" w:sz="6" w:space="0"/>
          <w:right w:val="dashed" w:color="8FAADC" w:sz="6"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7BCD92">
        <w:tblPrEx>
          <w:tblBorders>
            <w:top w:val="dashed" w:color="8FAADC" w:sz="6" w:space="0"/>
            <w:left w:val="dashed" w:color="8FAADC" w:sz="6" w:space="0"/>
            <w:bottom w:val="dashed" w:color="8FAADC" w:sz="6" w:space="0"/>
            <w:right w:val="dashed" w:color="8FAADC" w:sz="6" w:space="0"/>
            <w:insideH w:val="single" w:color="auto" w:sz="4" w:space="0"/>
            <w:insideV w:val="single" w:color="auto" w:sz="4" w:space="0"/>
          </w:tblBorders>
        </w:tblPrEx>
        <w:tc>
          <w:tcPr>
            <w:shd w:val="clear" w:color="auto" w:fill="F5F8FC"/>
            <w:tcMar>
              <w:top w:w="600" w:type="dxa"/>
              <w:left w:w="200" w:type="dxa"/>
              <w:bottom w:w="600" w:type="dxa"/>
              <w:right w:w="200" w:type="dxa"/>
            </w:tcMar>
          </w:tcPr>
          <w:p w14:paraId="6C4A3A8A">
            <w:pPr>
              <w:jc w:val="center"/>
              <w:rPr>
                <w:rFonts w:hint="default"/>
                <w:lang w:val="en-IN"/>
              </w:rPr>
            </w:pPr>
            <w:r>
              <w:rPr>
                <w:rFonts w:hint="default"/>
                <w:lang w:val="en-IN"/>
              </w:rPr>
              <w:t xml:space="preserve">  </w:t>
            </w:r>
            <w:r>
              <w:rPr>
                <w:rFonts w:hint="default"/>
                <w:lang w:val="en-IN"/>
              </w:rPr>
              <w:drawing>
                <wp:inline distT="0" distB="0" distL="114300" distR="114300">
                  <wp:extent cx="2503170" cy="1591945"/>
                  <wp:effectExtent l="0" t="0" r="11430" b="8255"/>
                  <wp:docPr id="4" name="Picture 4" descr="Screenshot 2026-09-02 19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02 191815"/>
                          <pic:cNvPicPr>
                            <a:picLocks noChangeAspect="1"/>
                          </pic:cNvPicPr>
                        </pic:nvPicPr>
                        <pic:blipFill>
                          <a:blip r:embed="rId7"/>
                          <a:stretch>
                            <a:fillRect/>
                          </a:stretch>
                        </pic:blipFill>
                        <pic:spPr>
                          <a:xfrm>
                            <a:off x="0" y="0"/>
                            <a:ext cx="2503170" cy="1591945"/>
                          </a:xfrm>
                          <a:prstGeom prst="rect">
                            <a:avLst/>
                          </a:prstGeom>
                        </pic:spPr>
                      </pic:pic>
                    </a:graphicData>
                  </a:graphic>
                </wp:inline>
              </w:drawing>
            </w:r>
            <w:r>
              <w:rPr>
                <w:rFonts w:hint="default"/>
                <w:lang w:val="en-IN"/>
              </w:rPr>
              <w:t xml:space="preserve">    </w:t>
            </w:r>
            <w:r>
              <w:rPr>
                <w:rFonts w:hint="default"/>
                <w:lang w:val="en-IN"/>
              </w:rPr>
              <w:drawing>
                <wp:inline distT="0" distB="0" distL="114300" distR="114300">
                  <wp:extent cx="2713355" cy="1588770"/>
                  <wp:effectExtent l="0" t="0" r="14605" b="11430"/>
                  <wp:docPr id="2" name="Picture 2" descr="Screenshot 2026-09-02 19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02 191825"/>
                          <pic:cNvPicPr>
                            <a:picLocks noChangeAspect="1"/>
                          </pic:cNvPicPr>
                        </pic:nvPicPr>
                        <pic:blipFill>
                          <a:blip r:embed="rId8"/>
                          <a:stretch>
                            <a:fillRect/>
                          </a:stretch>
                        </pic:blipFill>
                        <pic:spPr>
                          <a:xfrm>
                            <a:off x="0" y="0"/>
                            <a:ext cx="2713355" cy="1588770"/>
                          </a:xfrm>
                          <a:prstGeom prst="rect">
                            <a:avLst/>
                          </a:prstGeom>
                        </pic:spPr>
                      </pic:pic>
                    </a:graphicData>
                  </a:graphic>
                </wp:inline>
              </w:drawing>
            </w:r>
          </w:p>
          <w:p w14:paraId="60AD08B6">
            <w:pPr>
              <w:jc w:val="center"/>
              <w:rPr>
                <w:rFonts w:hint="default"/>
                <w:lang w:val="en-IN"/>
              </w:rPr>
            </w:pPr>
          </w:p>
          <w:p w14:paraId="50512BC8">
            <w:pPr>
              <w:jc w:val="center"/>
              <w:rPr>
                <w:rFonts w:hint="default"/>
                <w:lang w:val="en-IN"/>
              </w:rPr>
            </w:pPr>
            <w:r>
              <w:rPr>
                <w:rFonts w:hint="default"/>
                <w:lang w:val="en-IN"/>
              </w:rPr>
              <w:drawing>
                <wp:inline distT="0" distB="0" distL="114300" distR="114300">
                  <wp:extent cx="2841625" cy="1699895"/>
                  <wp:effectExtent l="0" t="0" r="8255" b="6985"/>
                  <wp:docPr id="6" name="Picture 6" descr="Screenshot 2026-09-02 19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02 191835"/>
                          <pic:cNvPicPr>
                            <a:picLocks noChangeAspect="1"/>
                          </pic:cNvPicPr>
                        </pic:nvPicPr>
                        <pic:blipFill>
                          <a:blip r:embed="rId9"/>
                          <a:stretch>
                            <a:fillRect/>
                          </a:stretch>
                        </pic:blipFill>
                        <pic:spPr>
                          <a:xfrm>
                            <a:off x="0" y="0"/>
                            <a:ext cx="2841625" cy="1699895"/>
                          </a:xfrm>
                          <a:prstGeom prst="rect">
                            <a:avLst/>
                          </a:prstGeom>
                        </pic:spPr>
                      </pic:pic>
                    </a:graphicData>
                  </a:graphic>
                </wp:inline>
              </w:drawing>
            </w:r>
          </w:p>
        </w:tc>
      </w:tr>
    </w:tbl>
    <w:p w14:paraId="151B1A36">
      <w:pPr>
        <w:spacing w:before="100" w:after="240"/>
        <w:jc w:val="center"/>
      </w:pPr>
      <w:r>
        <w:rPr>
          <w:i/>
          <w:iCs/>
          <w:color w:val="595959"/>
          <w:sz w:val="18"/>
          <w:szCs w:val="18"/>
        </w:rPr>
        <w:t>Figure 2. Side-by-side confusion matrix heatmaps for Logistic Regression, Random Forest, and Gradient Boosting.</w:t>
      </w:r>
    </w:p>
    <w:p w14:paraId="122A740A">
      <w:pPr>
        <w:spacing w:after="160" w:line="276" w:lineRule="auto"/>
        <w:jc w:val="both"/>
      </w:pPr>
      <w:r>
        <w:rPr>
          <w:b w:val="0"/>
          <w:bCs w:val="0"/>
          <w:i w:val="0"/>
          <w:iCs w:val="0"/>
          <w:color w:val="262626"/>
          <w:sz w:val="22"/>
          <w:szCs w:val="22"/>
        </w:rPr>
        <w:t>Gradient Boosting recorded the lowest number of false negatives (58) among all three models — i.e., customers who actually churned but were predicted as remaining. From a business standpoint, false negatives are the more costly error type, since they represent churned customers who were never flagged for retention outreach. Gradient Boosting's low false-negative count directly supports its selection as the best-performing model for this task.</w:t>
      </w:r>
    </w:p>
    <w:p w14:paraId="48302479">
      <w:pPr>
        <w:pStyle w:val="2"/>
        <w:pBdr>
          <w:bottom w:val="single" w:color="2E74B5" w:sz="8" w:space="4"/>
        </w:pBdr>
        <w:spacing w:before="480" w:after="240"/>
      </w:pPr>
      <w:r>
        <w:rPr>
          <w:b/>
          <w:bCs/>
          <w:color w:val="1F3864"/>
          <w:sz w:val="30"/>
          <w:szCs w:val="30"/>
        </w:rPr>
        <w:t>1</w:t>
      </w:r>
      <w:r>
        <w:rPr>
          <w:rFonts w:hint="default"/>
          <w:b/>
          <w:bCs/>
          <w:color w:val="1F3864"/>
          <w:sz w:val="30"/>
          <w:szCs w:val="30"/>
          <w:lang w:val="en-IN"/>
        </w:rPr>
        <w:t>3</w:t>
      </w:r>
      <w:r>
        <w:rPr>
          <w:b/>
          <w:bCs/>
          <w:color w:val="1F3864"/>
          <w:sz w:val="30"/>
          <w:szCs w:val="30"/>
        </w:rPr>
        <w:t>. ROC Curve / ROC-AUC</w:t>
      </w:r>
    </w:p>
    <w:p w14:paraId="1198C8DB">
      <w:pPr>
        <w:spacing w:after="160" w:line="276" w:lineRule="auto"/>
        <w:jc w:val="both"/>
      </w:pPr>
      <w:r>
        <w:rPr>
          <w:b w:val="0"/>
          <w:bCs w:val="0"/>
          <w:i w:val="0"/>
          <w:iCs w:val="0"/>
          <w:color w:val="262626"/>
          <w:sz w:val="22"/>
          <w:szCs w:val="22"/>
        </w:rPr>
        <w:t>The Receiver Operating Characteristic (ROC) curve plots the true positive rate against the false positive rate across classification thresholds, and the Area Under the Curve (ROC-AUC) summarizes overall separability between the two classes.</w:t>
      </w:r>
    </w:p>
    <w:tbl>
      <w:tblPr>
        <w:tblStyle w:val="9"/>
        <w:tblW w:w="9360" w:type="dxa"/>
        <w:tblInd w:w="0" w:type="dxa"/>
        <w:tblBorders>
          <w:top w:val="dashed" w:color="8FAADC" w:sz="6" w:space="0"/>
          <w:left w:val="dashed" w:color="8FAADC" w:sz="6" w:space="0"/>
          <w:bottom w:val="dashed" w:color="8FAADC" w:sz="6" w:space="0"/>
          <w:right w:val="dashed" w:color="8FAADC" w:sz="6"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ABBCAD3">
        <w:tblPrEx>
          <w:tblBorders>
            <w:top w:val="dashed" w:color="8FAADC" w:sz="6" w:space="0"/>
            <w:left w:val="dashed" w:color="8FAADC" w:sz="6" w:space="0"/>
            <w:bottom w:val="dashed" w:color="8FAADC" w:sz="6" w:space="0"/>
            <w:right w:val="dashed" w:color="8FAADC" w:sz="6" w:space="0"/>
            <w:insideH w:val="single" w:color="auto" w:sz="4" w:space="0"/>
            <w:insideV w:val="single" w:color="auto" w:sz="4" w:space="0"/>
          </w:tblBorders>
          <w:tblCellMar>
            <w:top w:w="0" w:type="dxa"/>
            <w:left w:w="10" w:type="dxa"/>
            <w:bottom w:w="0" w:type="dxa"/>
            <w:right w:w="10" w:type="dxa"/>
          </w:tblCellMar>
        </w:tblPrEx>
        <w:tc>
          <w:tcPr>
            <w:shd w:val="clear" w:color="auto" w:fill="F5F8FC"/>
            <w:tcMar>
              <w:top w:w="600" w:type="dxa"/>
              <w:left w:w="200" w:type="dxa"/>
              <w:bottom w:w="600" w:type="dxa"/>
              <w:right w:w="200" w:type="dxa"/>
            </w:tcMar>
          </w:tcPr>
          <w:p w14:paraId="205C7C0A">
            <w:pPr>
              <w:jc w:val="center"/>
              <w:rPr>
                <w:rFonts w:hint="default"/>
                <w:lang w:val="en-IN"/>
              </w:rPr>
            </w:pPr>
            <w:r>
              <w:rPr>
                <w:rFonts w:hint="default"/>
                <w:lang w:val="en-IN"/>
              </w:rPr>
              <w:drawing>
                <wp:inline distT="0" distB="0" distL="114300" distR="114300">
                  <wp:extent cx="1743710" cy="1438275"/>
                  <wp:effectExtent l="0" t="0" r="8890" b="9525"/>
                  <wp:docPr id="10" name="Picture 10" descr="Screenshot 2026-09-02 19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9-02 195740"/>
                          <pic:cNvPicPr>
                            <a:picLocks noChangeAspect="1"/>
                          </pic:cNvPicPr>
                        </pic:nvPicPr>
                        <pic:blipFill>
                          <a:blip r:embed="rId10"/>
                          <a:stretch>
                            <a:fillRect/>
                          </a:stretch>
                        </pic:blipFill>
                        <pic:spPr>
                          <a:xfrm>
                            <a:off x="0" y="0"/>
                            <a:ext cx="1743710" cy="1438275"/>
                          </a:xfrm>
                          <a:prstGeom prst="rect">
                            <a:avLst/>
                          </a:prstGeom>
                        </pic:spPr>
                      </pic:pic>
                    </a:graphicData>
                  </a:graphic>
                </wp:inline>
              </w:drawing>
            </w:r>
            <w:r>
              <w:rPr>
                <w:rFonts w:hint="default"/>
                <w:lang w:val="en-IN"/>
              </w:rPr>
              <w:t xml:space="preserve">      </w:t>
            </w:r>
            <w:r>
              <w:rPr>
                <w:rFonts w:hint="default"/>
                <w:lang w:val="en-IN"/>
              </w:rPr>
              <w:drawing>
                <wp:inline distT="0" distB="0" distL="114300" distR="114300">
                  <wp:extent cx="1587500" cy="1459865"/>
                  <wp:effectExtent l="0" t="0" r="12700" b="3175"/>
                  <wp:docPr id="8" name="Picture 8" descr="Screenshot 2026-09-02 19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9-02 195748"/>
                          <pic:cNvPicPr>
                            <a:picLocks noChangeAspect="1"/>
                          </pic:cNvPicPr>
                        </pic:nvPicPr>
                        <pic:blipFill>
                          <a:blip r:embed="rId11"/>
                          <a:stretch>
                            <a:fillRect/>
                          </a:stretch>
                        </pic:blipFill>
                        <pic:spPr>
                          <a:xfrm>
                            <a:off x="0" y="0"/>
                            <a:ext cx="1587500" cy="1459865"/>
                          </a:xfrm>
                          <a:prstGeom prst="rect">
                            <a:avLst/>
                          </a:prstGeom>
                        </pic:spPr>
                      </pic:pic>
                    </a:graphicData>
                  </a:graphic>
                </wp:inline>
              </w:drawing>
            </w:r>
            <w:r>
              <w:rPr>
                <w:rFonts w:hint="default"/>
                <w:lang w:val="en-IN"/>
              </w:rPr>
              <w:t xml:space="preserve">      </w:t>
            </w:r>
            <w:r>
              <w:rPr>
                <w:rFonts w:hint="default"/>
                <w:lang w:val="en-IN"/>
              </w:rPr>
              <w:drawing>
                <wp:inline distT="0" distB="0" distL="114300" distR="114300">
                  <wp:extent cx="1513840" cy="1436370"/>
                  <wp:effectExtent l="0" t="0" r="10160" b="11430"/>
                  <wp:docPr id="9" name="Picture 9" descr="Screenshot 2026-09-02 19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9-02 195803"/>
                          <pic:cNvPicPr>
                            <a:picLocks noChangeAspect="1"/>
                          </pic:cNvPicPr>
                        </pic:nvPicPr>
                        <pic:blipFill>
                          <a:blip r:embed="rId12"/>
                          <a:stretch>
                            <a:fillRect/>
                          </a:stretch>
                        </pic:blipFill>
                        <pic:spPr>
                          <a:xfrm>
                            <a:off x="0" y="0"/>
                            <a:ext cx="1513840" cy="1436370"/>
                          </a:xfrm>
                          <a:prstGeom prst="rect">
                            <a:avLst/>
                          </a:prstGeom>
                        </pic:spPr>
                      </pic:pic>
                    </a:graphicData>
                  </a:graphic>
                </wp:inline>
              </w:drawing>
            </w:r>
          </w:p>
        </w:tc>
      </w:tr>
    </w:tbl>
    <w:p w14:paraId="2F3EF0AA">
      <w:pPr>
        <w:spacing w:before="100" w:after="240"/>
        <w:jc w:val="center"/>
        <w:rPr>
          <w:i/>
          <w:iCs/>
          <w:color w:val="595959"/>
          <w:sz w:val="18"/>
          <w:szCs w:val="18"/>
        </w:rPr>
      </w:pPr>
      <w:r>
        <w:rPr>
          <w:i/>
          <w:iCs/>
          <w:color w:val="595959"/>
          <w:sz w:val="18"/>
          <w:szCs w:val="18"/>
        </w:rPr>
        <w:t>Figure 3. ROC curves for Logistic Regression, Random Forest, and Gradient Boosting.</w:t>
      </w:r>
    </w:p>
    <w:p w14:paraId="4200E133">
      <w:pPr>
        <w:spacing w:before="100" w:after="240"/>
        <w:jc w:val="center"/>
        <w:rPr>
          <w:i/>
          <w:iCs/>
          <w:color w:val="595959"/>
          <w:sz w:val="18"/>
          <w:szCs w:val="18"/>
        </w:rPr>
      </w:pPr>
    </w:p>
    <w:tbl>
      <w:tblPr>
        <w:tblStyle w:val="9"/>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4680"/>
        <w:gridCol w:w="4680"/>
      </w:tblGrid>
      <w:tr w14:paraId="37C595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4680" w:type="dxa"/>
            <w:shd w:val="clear" w:color="auto" w:fill="1F3864"/>
            <w:tcMar>
              <w:top w:w="100" w:type="dxa"/>
              <w:left w:w="120" w:type="dxa"/>
              <w:bottom w:w="100" w:type="dxa"/>
              <w:right w:w="120" w:type="dxa"/>
            </w:tcMar>
            <w:vAlign w:val="center"/>
          </w:tcPr>
          <w:p w14:paraId="57329DCC">
            <w:pPr>
              <w:jc w:val="left"/>
            </w:pPr>
            <w:r>
              <w:rPr>
                <w:b/>
                <w:bCs/>
                <w:color w:val="FFFFFF"/>
                <w:sz w:val="20"/>
                <w:szCs w:val="20"/>
              </w:rPr>
              <w:t>Model</w:t>
            </w:r>
          </w:p>
        </w:tc>
        <w:tc>
          <w:tcPr>
            <w:tcW w:w="4680" w:type="dxa"/>
            <w:shd w:val="clear" w:color="auto" w:fill="1F3864"/>
            <w:tcMar>
              <w:top w:w="100" w:type="dxa"/>
              <w:left w:w="120" w:type="dxa"/>
              <w:bottom w:w="100" w:type="dxa"/>
              <w:right w:w="120" w:type="dxa"/>
            </w:tcMar>
            <w:vAlign w:val="center"/>
          </w:tcPr>
          <w:p w14:paraId="64951C6C">
            <w:pPr>
              <w:jc w:val="center"/>
            </w:pPr>
            <w:r>
              <w:rPr>
                <w:b/>
                <w:bCs/>
                <w:color w:val="FFFFFF"/>
                <w:sz w:val="20"/>
                <w:szCs w:val="20"/>
              </w:rPr>
              <w:t>ROC-AUC</w:t>
            </w:r>
          </w:p>
        </w:tc>
      </w:tr>
      <w:tr w14:paraId="499EF7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680" w:type="dxa"/>
            <w:tcMar>
              <w:top w:w="100" w:type="dxa"/>
              <w:left w:w="120" w:type="dxa"/>
              <w:bottom w:w="100" w:type="dxa"/>
              <w:right w:w="120" w:type="dxa"/>
            </w:tcMar>
            <w:vAlign w:val="center"/>
          </w:tcPr>
          <w:p w14:paraId="4F6C013C">
            <w:pPr>
              <w:jc w:val="left"/>
            </w:pPr>
            <w:r>
              <w:rPr>
                <w:b w:val="0"/>
                <w:bCs w:val="0"/>
                <w:color w:val="262626"/>
                <w:sz w:val="20"/>
                <w:szCs w:val="20"/>
              </w:rPr>
              <w:t>Gradient Boosting</w:t>
            </w:r>
          </w:p>
        </w:tc>
        <w:tc>
          <w:tcPr>
            <w:tcW w:w="4680" w:type="dxa"/>
            <w:tcMar>
              <w:top w:w="100" w:type="dxa"/>
              <w:left w:w="120" w:type="dxa"/>
              <w:bottom w:w="100" w:type="dxa"/>
              <w:right w:w="120" w:type="dxa"/>
            </w:tcMar>
            <w:vAlign w:val="center"/>
          </w:tcPr>
          <w:p w14:paraId="2792CEF2">
            <w:pPr>
              <w:jc w:val="center"/>
            </w:pPr>
            <w:r>
              <w:rPr>
                <w:b w:val="0"/>
                <w:bCs w:val="0"/>
                <w:color w:val="262626"/>
                <w:sz w:val="20"/>
                <w:szCs w:val="20"/>
              </w:rPr>
              <w:t>99.10%</w:t>
            </w:r>
          </w:p>
        </w:tc>
      </w:tr>
      <w:tr w14:paraId="1643C3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680" w:type="dxa"/>
            <w:shd w:val="clear" w:color="auto" w:fill="F2F6FB"/>
            <w:tcMar>
              <w:top w:w="100" w:type="dxa"/>
              <w:left w:w="120" w:type="dxa"/>
              <w:bottom w:w="100" w:type="dxa"/>
              <w:right w:w="120" w:type="dxa"/>
            </w:tcMar>
            <w:vAlign w:val="center"/>
          </w:tcPr>
          <w:p w14:paraId="63EF54A9">
            <w:pPr>
              <w:jc w:val="left"/>
            </w:pPr>
            <w:r>
              <w:rPr>
                <w:b w:val="0"/>
                <w:bCs w:val="0"/>
                <w:color w:val="262626"/>
                <w:sz w:val="20"/>
                <w:szCs w:val="20"/>
              </w:rPr>
              <w:t>Random Forest</w:t>
            </w:r>
          </w:p>
        </w:tc>
        <w:tc>
          <w:tcPr>
            <w:tcW w:w="4680" w:type="dxa"/>
            <w:shd w:val="clear" w:color="auto" w:fill="F2F6FB"/>
            <w:tcMar>
              <w:top w:w="100" w:type="dxa"/>
              <w:left w:w="120" w:type="dxa"/>
              <w:bottom w:w="100" w:type="dxa"/>
              <w:right w:w="120" w:type="dxa"/>
            </w:tcMar>
            <w:vAlign w:val="center"/>
          </w:tcPr>
          <w:p w14:paraId="6038024D">
            <w:pPr>
              <w:jc w:val="center"/>
            </w:pPr>
            <w:r>
              <w:rPr>
                <w:b w:val="0"/>
                <w:bCs w:val="0"/>
                <w:color w:val="262626"/>
                <w:sz w:val="20"/>
                <w:szCs w:val="20"/>
              </w:rPr>
              <w:t>98.87%</w:t>
            </w:r>
          </w:p>
        </w:tc>
      </w:tr>
      <w:tr w14:paraId="538B3C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680" w:type="dxa"/>
            <w:tcMar>
              <w:top w:w="100" w:type="dxa"/>
              <w:left w:w="120" w:type="dxa"/>
              <w:bottom w:w="100" w:type="dxa"/>
              <w:right w:w="120" w:type="dxa"/>
            </w:tcMar>
            <w:vAlign w:val="center"/>
          </w:tcPr>
          <w:p w14:paraId="302FD227">
            <w:pPr>
              <w:jc w:val="left"/>
            </w:pPr>
            <w:r>
              <w:rPr>
                <w:b w:val="0"/>
                <w:bCs w:val="0"/>
                <w:color w:val="262626"/>
                <w:sz w:val="20"/>
                <w:szCs w:val="20"/>
              </w:rPr>
              <w:t>Logistic Regression</w:t>
            </w:r>
          </w:p>
        </w:tc>
        <w:tc>
          <w:tcPr>
            <w:tcW w:w="4680" w:type="dxa"/>
            <w:tcMar>
              <w:top w:w="100" w:type="dxa"/>
              <w:left w:w="120" w:type="dxa"/>
              <w:bottom w:w="100" w:type="dxa"/>
              <w:right w:w="120" w:type="dxa"/>
            </w:tcMar>
            <w:vAlign w:val="center"/>
          </w:tcPr>
          <w:p w14:paraId="45A65BD6">
            <w:pPr>
              <w:jc w:val="center"/>
            </w:pPr>
            <w:r>
              <w:rPr>
                <w:b w:val="0"/>
                <w:bCs w:val="0"/>
                <w:color w:val="262626"/>
                <w:sz w:val="20"/>
                <w:szCs w:val="20"/>
              </w:rPr>
              <w:t>93.18%</w:t>
            </w:r>
          </w:p>
        </w:tc>
      </w:tr>
    </w:tbl>
    <w:p w14:paraId="6A9DC08F">
      <w:pPr>
        <w:spacing w:before="200"/>
      </w:pPr>
    </w:p>
    <w:p w14:paraId="0133D954">
      <w:pPr>
        <w:spacing w:after="160" w:line="276" w:lineRule="auto"/>
        <w:jc w:val="both"/>
      </w:pPr>
      <w:r>
        <w:rPr>
          <w:b w:val="0"/>
          <w:bCs w:val="0"/>
          <w:i w:val="0"/>
          <w:iCs w:val="0"/>
          <w:color w:val="262626"/>
          <w:sz w:val="22"/>
          <w:szCs w:val="22"/>
        </w:rPr>
        <w:t>Gradient Boosting's ROC-AUC of 99.10% indicates near-optimal separation between customers who churn and customers who remain, meaning the model's predicted probabilities rank at-risk customers reliably across almost the entire range of decision thresholds.</w:t>
      </w:r>
    </w:p>
    <w:p w14:paraId="25C0FB13">
      <w:pPr>
        <w:pStyle w:val="2"/>
        <w:pBdr>
          <w:bottom w:val="single" w:color="2E74B5" w:sz="8" w:space="4"/>
        </w:pBdr>
        <w:spacing w:before="480" w:after="240"/>
      </w:pPr>
      <w:r>
        <w:rPr>
          <w:b/>
          <w:bCs/>
          <w:color w:val="1F3864"/>
          <w:sz w:val="30"/>
          <w:szCs w:val="30"/>
        </w:rPr>
        <w:t>1</w:t>
      </w:r>
      <w:r>
        <w:rPr>
          <w:rFonts w:hint="default"/>
          <w:b/>
          <w:bCs/>
          <w:color w:val="1F3864"/>
          <w:sz w:val="30"/>
          <w:szCs w:val="30"/>
          <w:lang w:val="en-IN"/>
        </w:rPr>
        <w:t>4</w:t>
      </w:r>
      <w:r>
        <w:rPr>
          <w:b/>
          <w:bCs/>
          <w:color w:val="1F3864"/>
          <w:sz w:val="30"/>
          <w:szCs w:val="30"/>
        </w:rPr>
        <w:t>. Feature Importance</w:t>
      </w:r>
    </w:p>
    <w:p w14:paraId="00907D1A">
      <w:pPr>
        <w:spacing w:after="160" w:line="276" w:lineRule="auto"/>
        <w:jc w:val="both"/>
      </w:pPr>
      <w:r>
        <w:rPr>
          <w:b w:val="0"/>
          <w:bCs w:val="0"/>
          <w:i w:val="0"/>
          <w:iCs w:val="0"/>
          <w:color w:val="262626"/>
          <w:sz w:val="22"/>
          <w:szCs w:val="22"/>
        </w:rPr>
        <w:t>Feature importances were extracted from the trained Gradient Boosting model to understand which attributes contributed most to its predictions.</w:t>
      </w:r>
    </w:p>
    <w:tbl>
      <w:tblPr>
        <w:tblStyle w:val="9"/>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1200"/>
        <w:gridCol w:w="4680"/>
        <w:gridCol w:w="3480"/>
      </w:tblGrid>
      <w:tr w14:paraId="1CEDCD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1200" w:type="dxa"/>
            <w:shd w:val="clear" w:color="auto" w:fill="1F3864"/>
            <w:tcMar>
              <w:top w:w="100" w:type="dxa"/>
              <w:left w:w="120" w:type="dxa"/>
              <w:bottom w:w="100" w:type="dxa"/>
              <w:right w:w="120" w:type="dxa"/>
            </w:tcMar>
            <w:vAlign w:val="center"/>
          </w:tcPr>
          <w:p w14:paraId="64631D03">
            <w:pPr>
              <w:jc w:val="left"/>
            </w:pPr>
            <w:r>
              <w:rPr>
                <w:b/>
                <w:bCs/>
                <w:color w:val="FFFFFF"/>
                <w:sz w:val="20"/>
                <w:szCs w:val="20"/>
              </w:rPr>
              <w:t>Rank</w:t>
            </w:r>
          </w:p>
        </w:tc>
        <w:tc>
          <w:tcPr>
            <w:tcW w:w="4680" w:type="dxa"/>
            <w:shd w:val="clear" w:color="auto" w:fill="1F3864"/>
            <w:tcMar>
              <w:top w:w="100" w:type="dxa"/>
              <w:left w:w="120" w:type="dxa"/>
              <w:bottom w:w="100" w:type="dxa"/>
              <w:right w:w="120" w:type="dxa"/>
            </w:tcMar>
            <w:vAlign w:val="center"/>
          </w:tcPr>
          <w:p w14:paraId="24A5E8B5">
            <w:pPr>
              <w:jc w:val="center"/>
            </w:pPr>
            <w:r>
              <w:rPr>
                <w:b/>
                <w:bCs/>
                <w:color w:val="FFFFFF"/>
                <w:sz w:val="20"/>
                <w:szCs w:val="20"/>
              </w:rPr>
              <w:t>Feature</w:t>
            </w:r>
          </w:p>
        </w:tc>
        <w:tc>
          <w:tcPr>
            <w:tcW w:w="3480" w:type="dxa"/>
            <w:shd w:val="clear" w:color="auto" w:fill="1F3864"/>
            <w:tcMar>
              <w:top w:w="100" w:type="dxa"/>
              <w:left w:w="120" w:type="dxa"/>
              <w:bottom w:w="100" w:type="dxa"/>
              <w:right w:w="120" w:type="dxa"/>
            </w:tcMar>
            <w:vAlign w:val="center"/>
          </w:tcPr>
          <w:p w14:paraId="7D4FF4BC">
            <w:pPr>
              <w:jc w:val="center"/>
            </w:pPr>
            <w:r>
              <w:rPr>
                <w:b/>
                <w:bCs/>
                <w:color w:val="FFFFFF"/>
                <w:sz w:val="20"/>
                <w:szCs w:val="20"/>
              </w:rPr>
              <w:t>Importance</w:t>
            </w:r>
          </w:p>
        </w:tc>
      </w:tr>
      <w:tr w14:paraId="53C324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25ECE36C">
            <w:pPr>
              <w:jc w:val="left"/>
            </w:pPr>
            <w:r>
              <w:rPr>
                <w:b w:val="0"/>
                <w:bCs w:val="0"/>
                <w:color w:val="262626"/>
                <w:sz w:val="20"/>
                <w:szCs w:val="20"/>
              </w:rPr>
              <w:t>1</w:t>
            </w:r>
          </w:p>
        </w:tc>
        <w:tc>
          <w:tcPr>
            <w:tcW w:w="4680" w:type="dxa"/>
            <w:tcMar>
              <w:top w:w="100" w:type="dxa"/>
              <w:left w:w="120" w:type="dxa"/>
              <w:bottom w:w="100" w:type="dxa"/>
              <w:right w:w="120" w:type="dxa"/>
            </w:tcMar>
            <w:vAlign w:val="center"/>
          </w:tcPr>
          <w:p w14:paraId="6CBE85D6">
            <w:pPr>
              <w:jc w:val="center"/>
            </w:pPr>
            <w:r>
              <w:rPr>
                <w:b w:val="0"/>
                <w:bCs w:val="0"/>
                <w:color w:val="262626"/>
                <w:sz w:val="20"/>
                <w:szCs w:val="20"/>
              </w:rPr>
              <w:t>Total_Trans_Ct</w:t>
            </w:r>
          </w:p>
        </w:tc>
        <w:tc>
          <w:tcPr>
            <w:tcW w:w="3480" w:type="dxa"/>
            <w:tcMar>
              <w:top w:w="100" w:type="dxa"/>
              <w:left w:w="120" w:type="dxa"/>
              <w:bottom w:w="100" w:type="dxa"/>
              <w:right w:w="120" w:type="dxa"/>
            </w:tcMar>
            <w:vAlign w:val="center"/>
          </w:tcPr>
          <w:p w14:paraId="3CFA2B3B">
            <w:pPr>
              <w:jc w:val="center"/>
            </w:pPr>
            <w:r>
              <w:rPr>
                <w:b w:val="0"/>
                <w:bCs w:val="0"/>
                <w:color w:val="262626"/>
                <w:sz w:val="20"/>
                <w:szCs w:val="20"/>
              </w:rPr>
              <w:t>0.303007</w:t>
            </w:r>
          </w:p>
        </w:tc>
      </w:tr>
      <w:tr w14:paraId="3DE716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200" w:type="dxa"/>
            <w:shd w:val="clear" w:color="auto" w:fill="F2F6FB"/>
            <w:tcMar>
              <w:top w:w="100" w:type="dxa"/>
              <w:left w:w="120" w:type="dxa"/>
              <w:bottom w:w="100" w:type="dxa"/>
              <w:right w:w="120" w:type="dxa"/>
            </w:tcMar>
            <w:vAlign w:val="center"/>
          </w:tcPr>
          <w:p w14:paraId="52C224E8">
            <w:pPr>
              <w:jc w:val="left"/>
            </w:pPr>
            <w:r>
              <w:rPr>
                <w:b w:val="0"/>
                <w:bCs w:val="0"/>
                <w:color w:val="262626"/>
                <w:sz w:val="20"/>
                <w:szCs w:val="20"/>
              </w:rPr>
              <w:t>2</w:t>
            </w:r>
          </w:p>
        </w:tc>
        <w:tc>
          <w:tcPr>
            <w:tcW w:w="4680" w:type="dxa"/>
            <w:shd w:val="clear" w:color="auto" w:fill="F2F6FB"/>
            <w:tcMar>
              <w:top w:w="100" w:type="dxa"/>
              <w:left w:w="120" w:type="dxa"/>
              <w:bottom w:w="100" w:type="dxa"/>
              <w:right w:w="120" w:type="dxa"/>
            </w:tcMar>
            <w:vAlign w:val="center"/>
          </w:tcPr>
          <w:p w14:paraId="6212C124">
            <w:pPr>
              <w:jc w:val="center"/>
            </w:pPr>
            <w:r>
              <w:rPr>
                <w:b w:val="0"/>
                <w:bCs w:val="0"/>
                <w:color w:val="262626"/>
                <w:sz w:val="20"/>
                <w:szCs w:val="20"/>
              </w:rPr>
              <w:t>Total_Revolving_Bal</w:t>
            </w:r>
          </w:p>
        </w:tc>
        <w:tc>
          <w:tcPr>
            <w:tcW w:w="3480" w:type="dxa"/>
            <w:shd w:val="clear" w:color="auto" w:fill="F2F6FB"/>
            <w:tcMar>
              <w:top w:w="100" w:type="dxa"/>
              <w:left w:w="120" w:type="dxa"/>
              <w:bottom w:w="100" w:type="dxa"/>
              <w:right w:w="120" w:type="dxa"/>
            </w:tcMar>
            <w:vAlign w:val="center"/>
          </w:tcPr>
          <w:p w14:paraId="727CC85C">
            <w:pPr>
              <w:jc w:val="center"/>
            </w:pPr>
            <w:r>
              <w:rPr>
                <w:b w:val="0"/>
                <w:bCs w:val="0"/>
                <w:color w:val="262626"/>
                <w:sz w:val="20"/>
                <w:szCs w:val="20"/>
              </w:rPr>
              <w:t>0.187543</w:t>
            </w:r>
          </w:p>
        </w:tc>
      </w:tr>
      <w:tr w14:paraId="68E495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075DFA05">
            <w:pPr>
              <w:jc w:val="left"/>
            </w:pPr>
            <w:r>
              <w:rPr>
                <w:b w:val="0"/>
                <w:bCs w:val="0"/>
                <w:color w:val="262626"/>
                <w:sz w:val="20"/>
                <w:szCs w:val="20"/>
              </w:rPr>
              <w:t>3</w:t>
            </w:r>
          </w:p>
        </w:tc>
        <w:tc>
          <w:tcPr>
            <w:tcW w:w="4680" w:type="dxa"/>
            <w:tcMar>
              <w:top w:w="100" w:type="dxa"/>
              <w:left w:w="120" w:type="dxa"/>
              <w:bottom w:w="100" w:type="dxa"/>
              <w:right w:w="120" w:type="dxa"/>
            </w:tcMar>
            <w:vAlign w:val="center"/>
          </w:tcPr>
          <w:p w14:paraId="2BD63EC1">
            <w:pPr>
              <w:jc w:val="center"/>
            </w:pPr>
            <w:r>
              <w:rPr>
                <w:b w:val="0"/>
                <w:bCs w:val="0"/>
                <w:color w:val="262626"/>
                <w:sz w:val="20"/>
                <w:szCs w:val="20"/>
              </w:rPr>
              <w:t>Total_Trans_Amt</w:t>
            </w:r>
          </w:p>
        </w:tc>
        <w:tc>
          <w:tcPr>
            <w:tcW w:w="3480" w:type="dxa"/>
            <w:tcMar>
              <w:top w:w="100" w:type="dxa"/>
              <w:left w:w="120" w:type="dxa"/>
              <w:bottom w:w="100" w:type="dxa"/>
              <w:right w:w="120" w:type="dxa"/>
            </w:tcMar>
            <w:vAlign w:val="center"/>
          </w:tcPr>
          <w:p w14:paraId="3C825CF6">
            <w:pPr>
              <w:jc w:val="center"/>
            </w:pPr>
            <w:r>
              <w:rPr>
                <w:b w:val="0"/>
                <w:bCs w:val="0"/>
                <w:color w:val="262626"/>
                <w:sz w:val="20"/>
                <w:szCs w:val="20"/>
              </w:rPr>
              <w:t>0.175085</w:t>
            </w:r>
          </w:p>
        </w:tc>
      </w:tr>
      <w:tr w14:paraId="1149E6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200" w:type="dxa"/>
            <w:shd w:val="clear" w:color="auto" w:fill="F2F6FB"/>
            <w:tcMar>
              <w:top w:w="100" w:type="dxa"/>
              <w:left w:w="120" w:type="dxa"/>
              <w:bottom w:w="100" w:type="dxa"/>
              <w:right w:w="120" w:type="dxa"/>
            </w:tcMar>
            <w:vAlign w:val="center"/>
          </w:tcPr>
          <w:p w14:paraId="77078AB2">
            <w:pPr>
              <w:jc w:val="left"/>
            </w:pPr>
            <w:r>
              <w:rPr>
                <w:b w:val="0"/>
                <w:bCs w:val="0"/>
                <w:color w:val="262626"/>
                <w:sz w:val="20"/>
                <w:szCs w:val="20"/>
              </w:rPr>
              <w:t>4</w:t>
            </w:r>
          </w:p>
        </w:tc>
        <w:tc>
          <w:tcPr>
            <w:tcW w:w="4680" w:type="dxa"/>
            <w:shd w:val="clear" w:color="auto" w:fill="F2F6FB"/>
            <w:tcMar>
              <w:top w:w="100" w:type="dxa"/>
              <w:left w:w="120" w:type="dxa"/>
              <w:bottom w:w="100" w:type="dxa"/>
              <w:right w:w="120" w:type="dxa"/>
            </w:tcMar>
            <w:vAlign w:val="center"/>
          </w:tcPr>
          <w:p w14:paraId="77483A52">
            <w:pPr>
              <w:jc w:val="center"/>
            </w:pPr>
            <w:r>
              <w:rPr>
                <w:b w:val="0"/>
                <w:bCs w:val="0"/>
                <w:color w:val="262626"/>
                <w:sz w:val="20"/>
                <w:szCs w:val="20"/>
              </w:rPr>
              <w:t>Total_Ct_Chng_Q4_Q1</w:t>
            </w:r>
          </w:p>
        </w:tc>
        <w:tc>
          <w:tcPr>
            <w:tcW w:w="3480" w:type="dxa"/>
            <w:shd w:val="clear" w:color="auto" w:fill="F2F6FB"/>
            <w:tcMar>
              <w:top w:w="100" w:type="dxa"/>
              <w:left w:w="120" w:type="dxa"/>
              <w:bottom w:w="100" w:type="dxa"/>
              <w:right w:w="120" w:type="dxa"/>
            </w:tcMar>
            <w:vAlign w:val="center"/>
          </w:tcPr>
          <w:p w14:paraId="429371B2">
            <w:pPr>
              <w:jc w:val="center"/>
            </w:pPr>
            <w:r>
              <w:rPr>
                <w:b w:val="0"/>
                <w:bCs w:val="0"/>
                <w:color w:val="262626"/>
                <w:sz w:val="20"/>
                <w:szCs w:val="20"/>
              </w:rPr>
              <w:t>0.096195</w:t>
            </w:r>
          </w:p>
        </w:tc>
      </w:tr>
      <w:tr w14:paraId="0D1C88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646BE4A6">
            <w:pPr>
              <w:jc w:val="left"/>
            </w:pPr>
            <w:r>
              <w:rPr>
                <w:b w:val="0"/>
                <w:bCs w:val="0"/>
                <w:color w:val="262626"/>
                <w:sz w:val="20"/>
                <w:szCs w:val="20"/>
              </w:rPr>
              <w:t>5</w:t>
            </w:r>
          </w:p>
        </w:tc>
        <w:tc>
          <w:tcPr>
            <w:tcW w:w="4680" w:type="dxa"/>
            <w:tcMar>
              <w:top w:w="100" w:type="dxa"/>
              <w:left w:w="120" w:type="dxa"/>
              <w:bottom w:w="100" w:type="dxa"/>
              <w:right w:w="120" w:type="dxa"/>
            </w:tcMar>
            <w:vAlign w:val="center"/>
          </w:tcPr>
          <w:p w14:paraId="3ACC4D3B">
            <w:pPr>
              <w:jc w:val="center"/>
            </w:pPr>
            <w:r>
              <w:rPr>
                <w:b w:val="0"/>
                <w:bCs w:val="0"/>
                <w:color w:val="262626"/>
                <w:sz w:val="20"/>
                <w:szCs w:val="20"/>
              </w:rPr>
              <w:t>Total_Relationship_Count</w:t>
            </w:r>
          </w:p>
        </w:tc>
        <w:tc>
          <w:tcPr>
            <w:tcW w:w="3480" w:type="dxa"/>
            <w:tcMar>
              <w:top w:w="100" w:type="dxa"/>
              <w:left w:w="120" w:type="dxa"/>
              <w:bottom w:w="100" w:type="dxa"/>
              <w:right w:w="120" w:type="dxa"/>
            </w:tcMar>
            <w:vAlign w:val="center"/>
          </w:tcPr>
          <w:p w14:paraId="6E53A3BA">
            <w:pPr>
              <w:jc w:val="center"/>
            </w:pPr>
            <w:r>
              <w:rPr>
                <w:b w:val="0"/>
                <w:bCs w:val="0"/>
                <w:color w:val="262626"/>
                <w:sz w:val="20"/>
                <w:szCs w:val="20"/>
              </w:rPr>
              <w:t>0.094218</w:t>
            </w:r>
          </w:p>
        </w:tc>
      </w:tr>
      <w:tr w14:paraId="7CFCC0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200" w:type="dxa"/>
            <w:shd w:val="clear" w:color="auto" w:fill="F2F6FB"/>
            <w:tcMar>
              <w:top w:w="100" w:type="dxa"/>
              <w:left w:w="120" w:type="dxa"/>
              <w:bottom w:w="100" w:type="dxa"/>
              <w:right w:w="120" w:type="dxa"/>
            </w:tcMar>
            <w:vAlign w:val="center"/>
          </w:tcPr>
          <w:p w14:paraId="591ECAF7">
            <w:pPr>
              <w:jc w:val="left"/>
            </w:pPr>
            <w:r>
              <w:rPr>
                <w:b w:val="0"/>
                <w:bCs w:val="0"/>
                <w:color w:val="262626"/>
                <w:sz w:val="20"/>
                <w:szCs w:val="20"/>
              </w:rPr>
              <w:t>6</w:t>
            </w:r>
          </w:p>
        </w:tc>
        <w:tc>
          <w:tcPr>
            <w:tcW w:w="4680" w:type="dxa"/>
            <w:shd w:val="clear" w:color="auto" w:fill="F2F6FB"/>
            <w:tcMar>
              <w:top w:w="100" w:type="dxa"/>
              <w:left w:w="120" w:type="dxa"/>
              <w:bottom w:w="100" w:type="dxa"/>
              <w:right w:w="120" w:type="dxa"/>
            </w:tcMar>
            <w:vAlign w:val="center"/>
          </w:tcPr>
          <w:p w14:paraId="453710AC">
            <w:pPr>
              <w:jc w:val="center"/>
            </w:pPr>
            <w:r>
              <w:rPr>
                <w:b w:val="0"/>
                <w:bCs w:val="0"/>
                <w:color w:val="262626"/>
                <w:sz w:val="20"/>
                <w:szCs w:val="20"/>
              </w:rPr>
              <w:t>Total_Amt_Chng_Q4_Q1</w:t>
            </w:r>
          </w:p>
        </w:tc>
        <w:tc>
          <w:tcPr>
            <w:tcW w:w="3480" w:type="dxa"/>
            <w:shd w:val="clear" w:color="auto" w:fill="F2F6FB"/>
            <w:tcMar>
              <w:top w:w="100" w:type="dxa"/>
              <w:left w:w="120" w:type="dxa"/>
              <w:bottom w:w="100" w:type="dxa"/>
              <w:right w:w="120" w:type="dxa"/>
            </w:tcMar>
            <w:vAlign w:val="center"/>
          </w:tcPr>
          <w:p w14:paraId="07FD208B">
            <w:pPr>
              <w:jc w:val="center"/>
            </w:pPr>
            <w:r>
              <w:rPr>
                <w:b w:val="0"/>
                <w:bCs w:val="0"/>
                <w:color w:val="262626"/>
                <w:sz w:val="20"/>
                <w:szCs w:val="20"/>
              </w:rPr>
              <w:t>0.036924</w:t>
            </w:r>
          </w:p>
        </w:tc>
      </w:tr>
      <w:tr w14:paraId="77A619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283BF3B0">
            <w:pPr>
              <w:jc w:val="left"/>
            </w:pPr>
            <w:r>
              <w:rPr>
                <w:b w:val="0"/>
                <w:bCs w:val="0"/>
                <w:color w:val="262626"/>
                <w:sz w:val="20"/>
                <w:szCs w:val="20"/>
              </w:rPr>
              <w:t>7</w:t>
            </w:r>
          </w:p>
        </w:tc>
        <w:tc>
          <w:tcPr>
            <w:tcW w:w="4680" w:type="dxa"/>
            <w:tcMar>
              <w:top w:w="100" w:type="dxa"/>
              <w:left w:w="120" w:type="dxa"/>
              <w:bottom w:w="100" w:type="dxa"/>
              <w:right w:w="120" w:type="dxa"/>
            </w:tcMar>
            <w:vAlign w:val="center"/>
          </w:tcPr>
          <w:p w14:paraId="38140B95">
            <w:pPr>
              <w:jc w:val="center"/>
            </w:pPr>
            <w:r>
              <w:rPr>
                <w:b w:val="0"/>
                <w:bCs w:val="0"/>
                <w:color w:val="262626"/>
                <w:sz w:val="20"/>
                <w:szCs w:val="20"/>
              </w:rPr>
              <w:t>Avg_Transaction_Amount</w:t>
            </w:r>
          </w:p>
        </w:tc>
        <w:tc>
          <w:tcPr>
            <w:tcW w:w="3480" w:type="dxa"/>
            <w:tcMar>
              <w:top w:w="100" w:type="dxa"/>
              <w:left w:w="120" w:type="dxa"/>
              <w:bottom w:w="100" w:type="dxa"/>
              <w:right w:w="120" w:type="dxa"/>
            </w:tcMar>
            <w:vAlign w:val="center"/>
          </w:tcPr>
          <w:p w14:paraId="2E789A05">
            <w:pPr>
              <w:jc w:val="center"/>
            </w:pPr>
            <w:r>
              <w:rPr>
                <w:b w:val="0"/>
                <w:bCs w:val="0"/>
                <w:color w:val="262626"/>
                <w:sz w:val="20"/>
                <w:szCs w:val="20"/>
              </w:rPr>
              <w:t>0.036214</w:t>
            </w:r>
          </w:p>
        </w:tc>
      </w:tr>
      <w:tr w14:paraId="37A6FD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200" w:type="dxa"/>
            <w:shd w:val="clear" w:color="auto" w:fill="F2F6FB"/>
            <w:tcMar>
              <w:top w:w="100" w:type="dxa"/>
              <w:left w:w="120" w:type="dxa"/>
              <w:bottom w:w="100" w:type="dxa"/>
              <w:right w:w="120" w:type="dxa"/>
            </w:tcMar>
            <w:vAlign w:val="center"/>
          </w:tcPr>
          <w:p w14:paraId="69E8A1FC">
            <w:pPr>
              <w:jc w:val="left"/>
            </w:pPr>
            <w:r>
              <w:rPr>
                <w:b w:val="0"/>
                <w:bCs w:val="0"/>
                <w:color w:val="262626"/>
                <w:sz w:val="20"/>
                <w:szCs w:val="20"/>
              </w:rPr>
              <w:t>8</w:t>
            </w:r>
          </w:p>
        </w:tc>
        <w:tc>
          <w:tcPr>
            <w:tcW w:w="4680" w:type="dxa"/>
            <w:shd w:val="clear" w:color="auto" w:fill="F2F6FB"/>
            <w:tcMar>
              <w:top w:w="100" w:type="dxa"/>
              <w:left w:w="120" w:type="dxa"/>
              <w:bottom w:w="100" w:type="dxa"/>
              <w:right w:w="120" w:type="dxa"/>
            </w:tcMar>
            <w:vAlign w:val="center"/>
          </w:tcPr>
          <w:p w14:paraId="31C43E1A">
            <w:pPr>
              <w:jc w:val="center"/>
            </w:pPr>
            <w:r>
              <w:rPr>
                <w:b w:val="0"/>
                <w:bCs w:val="0"/>
                <w:color w:val="262626"/>
                <w:sz w:val="20"/>
                <w:szCs w:val="20"/>
              </w:rPr>
              <w:t>Transaction_Activity</w:t>
            </w:r>
          </w:p>
        </w:tc>
        <w:tc>
          <w:tcPr>
            <w:tcW w:w="3480" w:type="dxa"/>
            <w:shd w:val="clear" w:color="auto" w:fill="F2F6FB"/>
            <w:tcMar>
              <w:top w:w="100" w:type="dxa"/>
              <w:left w:w="120" w:type="dxa"/>
              <w:bottom w:w="100" w:type="dxa"/>
              <w:right w:w="120" w:type="dxa"/>
            </w:tcMar>
            <w:vAlign w:val="center"/>
          </w:tcPr>
          <w:p w14:paraId="4B7CDEA8">
            <w:pPr>
              <w:jc w:val="center"/>
            </w:pPr>
            <w:r>
              <w:rPr>
                <w:b w:val="0"/>
                <w:bCs w:val="0"/>
                <w:color w:val="262626"/>
                <w:sz w:val="20"/>
                <w:szCs w:val="20"/>
              </w:rPr>
              <w:t>0.020116</w:t>
            </w:r>
          </w:p>
        </w:tc>
      </w:tr>
      <w:tr w14:paraId="7577F8A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721E4B7E">
            <w:pPr>
              <w:jc w:val="left"/>
            </w:pPr>
            <w:r>
              <w:rPr>
                <w:b w:val="0"/>
                <w:bCs w:val="0"/>
                <w:color w:val="262626"/>
                <w:sz w:val="20"/>
                <w:szCs w:val="20"/>
              </w:rPr>
              <w:t>9</w:t>
            </w:r>
          </w:p>
        </w:tc>
        <w:tc>
          <w:tcPr>
            <w:tcW w:w="4680" w:type="dxa"/>
            <w:tcMar>
              <w:top w:w="100" w:type="dxa"/>
              <w:left w:w="120" w:type="dxa"/>
              <w:bottom w:w="100" w:type="dxa"/>
              <w:right w:w="120" w:type="dxa"/>
            </w:tcMar>
            <w:vAlign w:val="center"/>
          </w:tcPr>
          <w:p w14:paraId="316A24D8">
            <w:pPr>
              <w:jc w:val="center"/>
            </w:pPr>
            <w:r>
              <w:rPr>
                <w:b w:val="0"/>
                <w:bCs w:val="0"/>
                <w:color w:val="262626"/>
                <w:sz w:val="20"/>
                <w:szCs w:val="20"/>
              </w:rPr>
              <w:t>Contacts_Count_12_mon</w:t>
            </w:r>
          </w:p>
        </w:tc>
        <w:tc>
          <w:tcPr>
            <w:tcW w:w="3480" w:type="dxa"/>
            <w:tcMar>
              <w:top w:w="100" w:type="dxa"/>
              <w:left w:w="120" w:type="dxa"/>
              <w:bottom w:w="100" w:type="dxa"/>
              <w:right w:w="120" w:type="dxa"/>
            </w:tcMar>
            <w:vAlign w:val="center"/>
          </w:tcPr>
          <w:p w14:paraId="23742C20">
            <w:pPr>
              <w:jc w:val="center"/>
            </w:pPr>
            <w:r>
              <w:rPr>
                <w:b w:val="0"/>
                <w:bCs w:val="0"/>
                <w:color w:val="262626"/>
                <w:sz w:val="20"/>
                <w:szCs w:val="20"/>
              </w:rPr>
              <w:t>0.016847</w:t>
            </w:r>
          </w:p>
        </w:tc>
      </w:tr>
      <w:tr w14:paraId="1E27FE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1200" w:type="dxa"/>
            <w:shd w:val="clear" w:color="auto" w:fill="F2F6FB"/>
            <w:tcMar>
              <w:top w:w="100" w:type="dxa"/>
              <w:left w:w="120" w:type="dxa"/>
              <w:bottom w:w="100" w:type="dxa"/>
              <w:right w:w="120" w:type="dxa"/>
            </w:tcMar>
            <w:vAlign w:val="center"/>
          </w:tcPr>
          <w:p w14:paraId="791C43AF">
            <w:pPr>
              <w:jc w:val="left"/>
            </w:pPr>
            <w:r>
              <w:rPr>
                <w:b w:val="0"/>
                <w:bCs w:val="0"/>
                <w:color w:val="262626"/>
                <w:sz w:val="20"/>
                <w:szCs w:val="20"/>
              </w:rPr>
              <w:t>10</w:t>
            </w:r>
          </w:p>
        </w:tc>
        <w:tc>
          <w:tcPr>
            <w:tcW w:w="4680" w:type="dxa"/>
            <w:shd w:val="clear" w:color="auto" w:fill="F2F6FB"/>
            <w:tcMar>
              <w:top w:w="100" w:type="dxa"/>
              <w:left w:w="120" w:type="dxa"/>
              <w:bottom w:w="100" w:type="dxa"/>
              <w:right w:w="120" w:type="dxa"/>
            </w:tcMar>
            <w:vAlign w:val="center"/>
          </w:tcPr>
          <w:p w14:paraId="1F5BE843">
            <w:pPr>
              <w:jc w:val="center"/>
            </w:pPr>
            <w:r>
              <w:rPr>
                <w:b w:val="0"/>
                <w:bCs w:val="0"/>
                <w:color w:val="262626"/>
                <w:sz w:val="20"/>
                <w:szCs w:val="20"/>
              </w:rPr>
              <w:t>Months_Inactive_12_mon</w:t>
            </w:r>
          </w:p>
        </w:tc>
        <w:tc>
          <w:tcPr>
            <w:tcW w:w="3480" w:type="dxa"/>
            <w:shd w:val="clear" w:color="auto" w:fill="F2F6FB"/>
            <w:tcMar>
              <w:top w:w="100" w:type="dxa"/>
              <w:left w:w="120" w:type="dxa"/>
              <w:bottom w:w="100" w:type="dxa"/>
              <w:right w:w="120" w:type="dxa"/>
            </w:tcMar>
            <w:vAlign w:val="center"/>
          </w:tcPr>
          <w:p w14:paraId="73EB52DF">
            <w:pPr>
              <w:jc w:val="center"/>
            </w:pPr>
            <w:r>
              <w:rPr>
                <w:b w:val="0"/>
                <w:bCs w:val="0"/>
                <w:color w:val="262626"/>
                <w:sz w:val="20"/>
                <w:szCs w:val="20"/>
              </w:rPr>
              <w:t>0.012351</w:t>
            </w:r>
          </w:p>
        </w:tc>
      </w:tr>
    </w:tbl>
    <w:p w14:paraId="37512B30">
      <w:pPr>
        <w:spacing w:before="200"/>
      </w:pPr>
    </w:p>
    <w:tbl>
      <w:tblPr>
        <w:tblStyle w:val="9"/>
        <w:tblW w:w="9360" w:type="dxa"/>
        <w:tblInd w:w="0" w:type="dxa"/>
        <w:tblBorders>
          <w:top w:val="dashed" w:color="8FAADC" w:sz="6" w:space="0"/>
          <w:left w:val="dashed" w:color="8FAADC" w:sz="6" w:space="0"/>
          <w:bottom w:val="dashed" w:color="8FAADC" w:sz="6" w:space="0"/>
          <w:right w:val="dashed" w:color="8FAADC" w:sz="6"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7B336A">
        <w:tblPrEx>
          <w:tblBorders>
            <w:top w:val="dashed" w:color="8FAADC" w:sz="6" w:space="0"/>
            <w:left w:val="dashed" w:color="8FAADC" w:sz="6" w:space="0"/>
            <w:bottom w:val="dashed" w:color="8FAADC" w:sz="6" w:space="0"/>
            <w:right w:val="dashed" w:color="8FAADC" w:sz="6" w:space="0"/>
            <w:insideH w:val="single" w:color="auto" w:sz="4" w:space="0"/>
            <w:insideV w:val="single" w:color="auto" w:sz="4" w:space="0"/>
          </w:tblBorders>
          <w:tblCellMar>
            <w:top w:w="0" w:type="dxa"/>
            <w:left w:w="10" w:type="dxa"/>
            <w:bottom w:w="0" w:type="dxa"/>
            <w:right w:w="10" w:type="dxa"/>
          </w:tblCellMar>
        </w:tblPrEx>
        <w:tc>
          <w:tcPr>
            <w:shd w:val="clear" w:color="auto" w:fill="F5F8FC"/>
            <w:tcMar>
              <w:top w:w="600" w:type="dxa"/>
              <w:left w:w="200" w:type="dxa"/>
              <w:bottom w:w="600" w:type="dxa"/>
              <w:right w:w="200" w:type="dxa"/>
            </w:tcMar>
          </w:tcPr>
          <w:p w14:paraId="0211D004">
            <w:pPr>
              <w:jc w:val="center"/>
            </w:pPr>
            <w:r>
              <w:drawing>
                <wp:inline distT="0" distB="0" distL="114300" distR="114300">
                  <wp:extent cx="3960495" cy="2028825"/>
                  <wp:effectExtent l="0" t="0" r="1905" b="1333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3"/>
                          <a:stretch>
                            <a:fillRect/>
                          </a:stretch>
                        </pic:blipFill>
                        <pic:spPr>
                          <a:xfrm>
                            <a:off x="0" y="0"/>
                            <a:ext cx="3960495" cy="2028825"/>
                          </a:xfrm>
                          <a:prstGeom prst="rect">
                            <a:avLst/>
                          </a:prstGeom>
                          <a:noFill/>
                          <a:ln>
                            <a:noFill/>
                          </a:ln>
                        </pic:spPr>
                      </pic:pic>
                    </a:graphicData>
                  </a:graphic>
                </wp:inline>
              </w:drawing>
            </w:r>
          </w:p>
        </w:tc>
      </w:tr>
    </w:tbl>
    <w:p w14:paraId="2FB81F0E">
      <w:pPr>
        <w:spacing w:before="100" w:after="240"/>
        <w:jc w:val="center"/>
      </w:pPr>
      <w:r>
        <w:rPr>
          <w:i/>
          <w:iCs/>
          <w:color w:val="595959"/>
          <w:sz w:val="18"/>
          <w:szCs w:val="18"/>
        </w:rPr>
        <w:t>Figure 4. Top 10 features ranked by importance in the Gradient Boosting model.</w:t>
      </w:r>
    </w:p>
    <w:p w14:paraId="4D4557E0">
      <w:pPr>
        <w:spacing w:after="160" w:line="276" w:lineRule="auto"/>
        <w:jc w:val="both"/>
      </w:pPr>
      <w:r>
        <w:rPr>
          <w:b w:val="0"/>
          <w:bCs w:val="0"/>
          <w:i w:val="0"/>
          <w:iCs w:val="0"/>
          <w:color w:val="262626"/>
          <w:sz w:val="22"/>
          <w:szCs w:val="22"/>
        </w:rPr>
        <w:t>Total transaction count, total revolving balance, and total transaction amount emerged as the three most influential features, together accounting for the majority of the model's total feature importance. This aligns with the intuitive expectation that reduced card usage and activity precede attrition.</w:t>
      </w:r>
    </w:p>
    <w:tbl>
      <w:tblPr>
        <w:tblStyle w:val="9"/>
        <w:tblW w:w="5000" w:type="pct"/>
        <w:tblInd w:w="0" w:type="dxa"/>
        <w:tblBorders>
          <w:top w:val="single" w:color="2E74B5" w:sz="6" w:space="0"/>
          <w:left w:val="single" w:color="2E74B5" w:sz="6" w:space="0"/>
          <w:bottom w:val="single" w:color="2E74B5" w:sz="6" w:space="0"/>
          <w:right w:val="single" w:color="2E74B5" w:sz="6" w:space="0"/>
          <w:insideH w:val="single" w:color="2E74B5" w:sz="6" w:space="0"/>
          <w:insideV w:val="single" w:color="2E74B5" w:sz="6" w:space="0"/>
        </w:tblBorders>
        <w:tblLayout w:type="autofit"/>
        <w:tblCellMar>
          <w:top w:w="0" w:type="dxa"/>
          <w:left w:w="10" w:type="dxa"/>
          <w:bottom w:w="0" w:type="dxa"/>
          <w:right w:w="10" w:type="dxa"/>
        </w:tblCellMar>
      </w:tblPr>
      <w:tblGrid>
        <w:gridCol w:w="9720"/>
      </w:tblGrid>
      <w:tr w14:paraId="27723668">
        <w:tblPrEx>
          <w:tblBorders>
            <w:top w:val="single" w:color="2E74B5" w:sz="6" w:space="0"/>
            <w:left w:val="single" w:color="2E74B5" w:sz="6" w:space="0"/>
            <w:bottom w:val="single" w:color="2E74B5" w:sz="6" w:space="0"/>
            <w:right w:val="single" w:color="2E74B5" w:sz="6" w:space="0"/>
            <w:insideH w:val="single" w:color="2E74B5" w:sz="6" w:space="0"/>
            <w:insideV w:val="single" w:color="2E74B5" w:sz="6" w:space="0"/>
          </w:tblBorders>
          <w:tblCellMar>
            <w:top w:w="0" w:type="dxa"/>
            <w:left w:w="10" w:type="dxa"/>
            <w:bottom w:w="0" w:type="dxa"/>
            <w:right w:w="10" w:type="dxa"/>
          </w:tblCellMar>
        </w:tblPrEx>
        <w:tc>
          <w:tcPr>
            <w:shd w:val="clear" w:color="auto" w:fill="EAF1FB"/>
            <w:tcMar>
              <w:top w:w="140" w:type="dxa"/>
              <w:left w:w="180" w:type="dxa"/>
              <w:bottom w:w="140" w:type="dxa"/>
              <w:right w:w="180" w:type="dxa"/>
            </w:tcMar>
          </w:tcPr>
          <w:p w14:paraId="5EA5B8AF">
            <w:r>
              <w:rPr>
                <w:b/>
                <w:bCs/>
                <w:color w:val="1F3864"/>
                <w:sz w:val="20"/>
                <w:szCs w:val="20"/>
              </w:rPr>
              <w:t xml:space="preserve">Note: </w:t>
            </w:r>
            <w:r>
              <w:rPr>
                <w:i/>
                <w:iCs/>
                <w:color w:val="262626"/>
                <w:sz w:val="20"/>
                <w:szCs w:val="20"/>
              </w:rPr>
              <w:t>Feature importance reflects each variable's contribution to the model's predictions and does not imply a causal relationship between that variable and customer churn.</w:t>
            </w:r>
          </w:p>
        </w:tc>
      </w:tr>
    </w:tbl>
    <w:p w14:paraId="1070973E">
      <w:pPr>
        <w:pStyle w:val="2"/>
        <w:pBdr>
          <w:bottom w:val="single" w:color="2E74B5" w:sz="8" w:space="4"/>
        </w:pBdr>
        <w:spacing w:before="480" w:after="240"/>
      </w:pPr>
      <w:r>
        <w:rPr>
          <w:b/>
          <w:bCs/>
          <w:color w:val="1F3864"/>
          <w:sz w:val="30"/>
          <w:szCs w:val="30"/>
        </w:rPr>
        <w:t>1</w:t>
      </w:r>
      <w:r>
        <w:rPr>
          <w:rFonts w:hint="default"/>
          <w:b/>
          <w:bCs/>
          <w:color w:val="1F3864"/>
          <w:sz w:val="30"/>
          <w:szCs w:val="30"/>
          <w:lang w:val="en-IN"/>
        </w:rPr>
        <w:t>5</w:t>
      </w:r>
      <w:r>
        <w:rPr>
          <w:b/>
          <w:bCs/>
          <w:color w:val="1F3864"/>
          <w:sz w:val="30"/>
          <w:szCs w:val="30"/>
        </w:rPr>
        <w:t>. Customer Prediction Demonstration</w:t>
      </w:r>
    </w:p>
    <w:p w14:paraId="41B2F25F">
      <w:pPr>
        <w:spacing w:after="160" w:line="276" w:lineRule="auto"/>
        <w:jc w:val="both"/>
      </w:pPr>
      <w:r>
        <w:rPr>
          <w:b w:val="0"/>
          <w:bCs w:val="0"/>
          <w:i w:val="0"/>
          <w:iCs w:val="0"/>
          <w:color w:val="262626"/>
          <w:sz w:val="22"/>
          <w:szCs w:val="22"/>
        </w:rPr>
        <w:t>To demonstrate the trained Gradient Boosting model in a practical setting, predictions were generated for two representative customer profiles — a low-risk customer and a high-risk customer.</w:t>
      </w:r>
    </w:p>
    <w:tbl>
      <w:tblPr>
        <w:tblStyle w:val="9"/>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200"/>
        <w:gridCol w:w="3080"/>
        <w:gridCol w:w="3080"/>
      </w:tblGrid>
      <w:tr w14:paraId="7A20C0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200" w:type="dxa"/>
            <w:shd w:val="clear" w:color="auto" w:fill="1F3864"/>
            <w:tcMar>
              <w:top w:w="100" w:type="dxa"/>
              <w:left w:w="120" w:type="dxa"/>
              <w:bottom w:w="100" w:type="dxa"/>
              <w:right w:w="120" w:type="dxa"/>
            </w:tcMar>
            <w:vAlign w:val="center"/>
          </w:tcPr>
          <w:p w14:paraId="092E8C0C">
            <w:pPr>
              <w:jc w:val="left"/>
            </w:pPr>
            <w:r>
              <w:rPr>
                <w:b/>
                <w:bCs/>
                <w:color w:val="FFFFFF"/>
                <w:sz w:val="20"/>
                <w:szCs w:val="20"/>
              </w:rPr>
              <w:t>Attribute</w:t>
            </w:r>
          </w:p>
        </w:tc>
        <w:tc>
          <w:tcPr>
            <w:tcW w:w="3080" w:type="dxa"/>
            <w:shd w:val="clear" w:color="auto" w:fill="1F3864"/>
            <w:tcMar>
              <w:top w:w="100" w:type="dxa"/>
              <w:left w:w="120" w:type="dxa"/>
              <w:bottom w:w="100" w:type="dxa"/>
              <w:right w:w="120" w:type="dxa"/>
            </w:tcMar>
            <w:vAlign w:val="center"/>
          </w:tcPr>
          <w:p w14:paraId="0B42C70F">
            <w:pPr>
              <w:jc w:val="center"/>
            </w:pPr>
            <w:r>
              <w:rPr>
                <w:b/>
                <w:bCs/>
                <w:color w:val="FFFFFF"/>
                <w:sz w:val="20"/>
                <w:szCs w:val="20"/>
              </w:rPr>
              <w:t>Low-Risk Customer</w:t>
            </w:r>
          </w:p>
        </w:tc>
        <w:tc>
          <w:tcPr>
            <w:tcW w:w="3080" w:type="dxa"/>
            <w:shd w:val="clear" w:color="auto" w:fill="1F3864"/>
            <w:tcMar>
              <w:top w:w="100" w:type="dxa"/>
              <w:left w:w="120" w:type="dxa"/>
              <w:bottom w:w="100" w:type="dxa"/>
              <w:right w:w="120" w:type="dxa"/>
            </w:tcMar>
            <w:vAlign w:val="center"/>
          </w:tcPr>
          <w:p w14:paraId="0AB8C3D4">
            <w:pPr>
              <w:jc w:val="center"/>
            </w:pPr>
            <w:r>
              <w:rPr>
                <w:b/>
                <w:bCs/>
                <w:color w:val="FFFFFF"/>
                <w:sz w:val="20"/>
                <w:szCs w:val="20"/>
              </w:rPr>
              <w:t>High-Risk Customer</w:t>
            </w:r>
          </w:p>
        </w:tc>
      </w:tr>
      <w:tr w14:paraId="1AE21A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5004635B">
            <w:pPr>
              <w:jc w:val="left"/>
            </w:pPr>
            <w:r>
              <w:rPr>
                <w:b w:val="0"/>
                <w:bCs w:val="0"/>
                <w:color w:val="262626"/>
                <w:sz w:val="20"/>
                <w:szCs w:val="20"/>
              </w:rPr>
              <w:t>Predicted Class</w:t>
            </w:r>
          </w:p>
        </w:tc>
        <w:tc>
          <w:tcPr>
            <w:tcW w:w="3080" w:type="dxa"/>
            <w:tcMar>
              <w:top w:w="100" w:type="dxa"/>
              <w:left w:w="120" w:type="dxa"/>
              <w:bottom w:w="100" w:type="dxa"/>
              <w:right w:w="120" w:type="dxa"/>
            </w:tcMar>
            <w:vAlign w:val="center"/>
          </w:tcPr>
          <w:p w14:paraId="18C7FDAD">
            <w:pPr>
              <w:jc w:val="center"/>
            </w:pPr>
            <w:r>
              <w:rPr>
                <w:b w:val="0"/>
                <w:bCs w:val="0"/>
                <w:color w:val="262626"/>
                <w:sz w:val="20"/>
                <w:szCs w:val="20"/>
              </w:rPr>
              <w:t>Existing Customer</w:t>
            </w:r>
          </w:p>
        </w:tc>
        <w:tc>
          <w:tcPr>
            <w:tcW w:w="3080" w:type="dxa"/>
            <w:tcMar>
              <w:top w:w="100" w:type="dxa"/>
              <w:left w:w="120" w:type="dxa"/>
              <w:bottom w:w="100" w:type="dxa"/>
              <w:right w:w="120" w:type="dxa"/>
            </w:tcMar>
            <w:vAlign w:val="center"/>
          </w:tcPr>
          <w:p w14:paraId="28FDBE67">
            <w:pPr>
              <w:jc w:val="center"/>
            </w:pPr>
            <w:r>
              <w:rPr>
                <w:b w:val="0"/>
                <w:bCs w:val="0"/>
                <w:color w:val="262626"/>
                <w:sz w:val="20"/>
                <w:szCs w:val="20"/>
              </w:rPr>
              <w:t>Attrited Customer</w:t>
            </w:r>
          </w:p>
        </w:tc>
      </w:tr>
      <w:tr w14:paraId="714345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shd w:val="clear" w:color="auto" w:fill="F2F6FB"/>
            <w:tcMar>
              <w:top w:w="100" w:type="dxa"/>
              <w:left w:w="120" w:type="dxa"/>
              <w:bottom w:w="100" w:type="dxa"/>
              <w:right w:w="120" w:type="dxa"/>
            </w:tcMar>
            <w:vAlign w:val="center"/>
          </w:tcPr>
          <w:p w14:paraId="2CD32E8B">
            <w:pPr>
              <w:jc w:val="left"/>
            </w:pPr>
            <w:r>
              <w:rPr>
                <w:b w:val="0"/>
                <w:bCs w:val="0"/>
                <w:color w:val="262626"/>
                <w:sz w:val="20"/>
                <w:szCs w:val="20"/>
              </w:rPr>
              <w:t>Churn Probability</w:t>
            </w:r>
          </w:p>
        </w:tc>
        <w:tc>
          <w:tcPr>
            <w:tcW w:w="3080" w:type="dxa"/>
            <w:shd w:val="clear" w:color="auto" w:fill="F2F6FB"/>
            <w:tcMar>
              <w:top w:w="100" w:type="dxa"/>
              <w:left w:w="120" w:type="dxa"/>
              <w:bottom w:w="100" w:type="dxa"/>
              <w:right w:w="120" w:type="dxa"/>
            </w:tcMar>
            <w:vAlign w:val="center"/>
          </w:tcPr>
          <w:p w14:paraId="59BFB64A">
            <w:pPr>
              <w:jc w:val="center"/>
            </w:pPr>
            <w:r>
              <w:rPr>
                <w:b w:val="0"/>
                <w:bCs w:val="0"/>
                <w:color w:val="262626"/>
                <w:sz w:val="20"/>
                <w:szCs w:val="20"/>
              </w:rPr>
              <w:t>0.71%</w:t>
            </w:r>
          </w:p>
        </w:tc>
        <w:tc>
          <w:tcPr>
            <w:tcW w:w="3080" w:type="dxa"/>
            <w:shd w:val="clear" w:color="auto" w:fill="F2F6FB"/>
            <w:tcMar>
              <w:top w:w="100" w:type="dxa"/>
              <w:left w:w="120" w:type="dxa"/>
              <w:bottom w:w="100" w:type="dxa"/>
              <w:right w:w="120" w:type="dxa"/>
            </w:tcMar>
            <w:vAlign w:val="center"/>
          </w:tcPr>
          <w:p w14:paraId="0F7EAACF">
            <w:pPr>
              <w:jc w:val="center"/>
            </w:pPr>
            <w:r>
              <w:rPr>
                <w:b w:val="0"/>
                <w:bCs w:val="0"/>
                <w:color w:val="262626"/>
                <w:sz w:val="20"/>
                <w:szCs w:val="20"/>
              </w:rPr>
              <w:t>91.53%</w:t>
            </w:r>
          </w:p>
        </w:tc>
      </w:tr>
      <w:tr w14:paraId="18D336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200" w:type="dxa"/>
            <w:tcMar>
              <w:top w:w="100" w:type="dxa"/>
              <w:left w:w="120" w:type="dxa"/>
              <w:bottom w:w="100" w:type="dxa"/>
              <w:right w:w="120" w:type="dxa"/>
            </w:tcMar>
            <w:vAlign w:val="center"/>
          </w:tcPr>
          <w:p w14:paraId="4C82E302">
            <w:pPr>
              <w:jc w:val="left"/>
            </w:pPr>
            <w:r>
              <w:rPr>
                <w:b w:val="0"/>
                <w:bCs w:val="0"/>
                <w:color w:val="262626"/>
                <w:sz w:val="20"/>
                <w:szCs w:val="20"/>
              </w:rPr>
              <w:t>Retention Probability</w:t>
            </w:r>
          </w:p>
        </w:tc>
        <w:tc>
          <w:tcPr>
            <w:tcW w:w="3080" w:type="dxa"/>
            <w:tcMar>
              <w:top w:w="100" w:type="dxa"/>
              <w:left w:w="120" w:type="dxa"/>
              <w:bottom w:w="100" w:type="dxa"/>
              <w:right w:w="120" w:type="dxa"/>
            </w:tcMar>
            <w:vAlign w:val="center"/>
          </w:tcPr>
          <w:p w14:paraId="2607E585">
            <w:pPr>
              <w:jc w:val="center"/>
            </w:pPr>
            <w:r>
              <w:rPr>
                <w:b w:val="0"/>
                <w:bCs w:val="0"/>
                <w:color w:val="262626"/>
                <w:sz w:val="20"/>
                <w:szCs w:val="20"/>
              </w:rPr>
              <w:t>99.29%</w:t>
            </w:r>
          </w:p>
        </w:tc>
        <w:tc>
          <w:tcPr>
            <w:tcW w:w="3080" w:type="dxa"/>
            <w:tcMar>
              <w:top w:w="100" w:type="dxa"/>
              <w:left w:w="120" w:type="dxa"/>
              <w:bottom w:w="100" w:type="dxa"/>
              <w:right w:w="120" w:type="dxa"/>
            </w:tcMar>
            <w:vAlign w:val="center"/>
          </w:tcPr>
          <w:p w14:paraId="5E02C98C">
            <w:pPr>
              <w:jc w:val="center"/>
            </w:pPr>
            <w:r>
              <w:rPr>
                <w:b w:val="0"/>
                <w:bCs w:val="0"/>
                <w:color w:val="262626"/>
                <w:sz w:val="20"/>
                <w:szCs w:val="20"/>
              </w:rPr>
              <w:t>8.47%</w:t>
            </w:r>
          </w:p>
        </w:tc>
      </w:tr>
    </w:tbl>
    <w:p w14:paraId="2C9A8447">
      <w:pPr>
        <w:spacing w:before="200"/>
      </w:pPr>
    </w:p>
    <w:p w14:paraId="112BA444">
      <w:pPr>
        <w:spacing w:after="160" w:line="276" w:lineRule="auto"/>
        <w:jc w:val="both"/>
      </w:pPr>
      <w:r>
        <w:rPr>
          <w:b w:val="0"/>
          <w:bCs w:val="0"/>
          <w:i w:val="0"/>
          <w:iCs w:val="0"/>
          <w:color w:val="262626"/>
          <w:sz w:val="22"/>
          <w:szCs w:val="22"/>
        </w:rPr>
        <w:t>In practical business terms, the low-risk customer's churn probability of 0.71% indicates that no retention intervention is currently warranted; resources are better directed elsewhere. In contrast, the high-risk customer's churn probability of 91.53% would trigger a high-priority alert in a retention workflow — this customer would typically be flagged for proactive outreach, a loyalty offer, or a relationship-manager check-in before they close their account. This kind of individual-level probability score is what allows the business to move from broad, untargeted retention campaigns to a ranked, prioritized retention strategy.</w:t>
      </w:r>
    </w:p>
    <w:p w14:paraId="1EF79BDA">
      <w:pPr>
        <w:pStyle w:val="2"/>
        <w:pBdr>
          <w:bottom w:val="single" w:color="2E74B5" w:sz="8" w:space="4"/>
        </w:pBdr>
        <w:spacing w:before="480" w:after="240"/>
      </w:pPr>
      <w:r>
        <w:rPr>
          <w:b/>
          <w:bCs/>
          <w:color w:val="1F3864"/>
          <w:sz w:val="30"/>
          <w:szCs w:val="30"/>
        </w:rPr>
        <w:t>1</w:t>
      </w:r>
      <w:r>
        <w:rPr>
          <w:rFonts w:hint="default"/>
          <w:b/>
          <w:bCs/>
          <w:color w:val="1F3864"/>
          <w:sz w:val="30"/>
          <w:szCs w:val="30"/>
          <w:lang w:val="en-IN"/>
        </w:rPr>
        <w:t>6</w:t>
      </w:r>
      <w:r>
        <w:rPr>
          <w:b/>
          <w:bCs/>
          <w:color w:val="1F3864"/>
          <w:sz w:val="30"/>
          <w:szCs w:val="30"/>
        </w:rPr>
        <w:t>. Technologies Used</w:t>
      </w:r>
    </w:p>
    <w:tbl>
      <w:tblPr>
        <w:tblStyle w:val="9"/>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4680"/>
        <w:gridCol w:w="4680"/>
      </w:tblGrid>
      <w:tr w14:paraId="2EF316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4680" w:type="dxa"/>
            <w:shd w:val="clear" w:color="auto" w:fill="1F3864"/>
            <w:tcMar>
              <w:top w:w="100" w:type="dxa"/>
              <w:left w:w="120" w:type="dxa"/>
              <w:bottom w:w="100" w:type="dxa"/>
              <w:right w:w="120" w:type="dxa"/>
            </w:tcMar>
            <w:vAlign w:val="center"/>
          </w:tcPr>
          <w:p w14:paraId="57AF7219">
            <w:pPr>
              <w:jc w:val="left"/>
            </w:pPr>
            <w:r>
              <w:rPr>
                <w:b/>
                <w:bCs/>
                <w:color w:val="FFFFFF"/>
                <w:sz w:val="20"/>
                <w:szCs w:val="20"/>
              </w:rPr>
              <w:t>Category</w:t>
            </w:r>
          </w:p>
        </w:tc>
        <w:tc>
          <w:tcPr>
            <w:tcW w:w="4680" w:type="dxa"/>
            <w:shd w:val="clear" w:color="auto" w:fill="1F3864"/>
            <w:tcMar>
              <w:top w:w="100" w:type="dxa"/>
              <w:left w:w="120" w:type="dxa"/>
              <w:bottom w:w="100" w:type="dxa"/>
              <w:right w:w="120" w:type="dxa"/>
            </w:tcMar>
            <w:vAlign w:val="center"/>
          </w:tcPr>
          <w:p w14:paraId="4E02DBC4">
            <w:pPr>
              <w:jc w:val="center"/>
            </w:pPr>
            <w:r>
              <w:rPr>
                <w:b/>
                <w:bCs/>
                <w:color w:val="FFFFFF"/>
                <w:sz w:val="20"/>
                <w:szCs w:val="20"/>
              </w:rPr>
              <w:t>Technology</w:t>
            </w:r>
          </w:p>
        </w:tc>
      </w:tr>
      <w:tr w14:paraId="2EB5D7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680" w:type="dxa"/>
            <w:tcMar>
              <w:top w:w="100" w:type="dxa"/>
              <w:left w:w="120" w:type="dxa"/>
              <w:bottom w:w="100" w:type="dxa"/>
              <w:right w:w="120" w:type="dxa"/>
            </w:tcMar>
            <w:vAlign w:val="center"/>
          </w:tcPr>
          <w:p w14:paraId="15800010">
            <w:pPr>
              <w:jc w:val="left"/>
            </w:pPr>
            <w:r>
              <w:rPr>
                <w:b w:val="0"/>
                <w:bCs w:val="0"/>
                <w:color w:val="262626"/>
                <w:sz w:val="20"/>
                <w:szCs w:val="20"/>
              </w:rPr>
              <w:t>Programming Language</w:t>
            </w:r>
          </w:p>
        </w:tc>
        <w:tc>
          <w:tcPr>
            <w:tcW w:w="4680" w:type="dxa"/>
            <w:tcMar>
              <w:top w:w="100" w:type="dxa"/>
              <w:left w:w="120" w:type="dxa"/>
              <w:bottom w:w="100" w:type="dxa"/>
              <w:right w:w="120" w:type="dxa"/>
            </w:tcMar>
            <w:vAlign w:val="center"/>
          </w:tcPr>
          <w:p w14:paraId="75535812">
            <w:pPr>
              <w:jc w:val="center"/>
            </w:pPr>
            <w:r>
              <w:rPr>
                <w:b w:val="0"/>
                <w:bCs w:val="0"/>
                <w:color w:val="262626"/>
                <w:sz w:val="20"/>
                <w:szCs w:val="20"/>
              </w:rPr>
              <w:t>Python</w:t>
            </w:r>
          </w:p>
        </w:tc>
      </w:tr>
      <w:tr w14:paraId="7B4850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680" w:type="dxa"/>
            <w:shd w:val="clear" w:color="auto" w:fill="F2F6FB"/>
            <w:tcMar>
              <w:top w:w="100" w:type="dxa"/>
              <w:left w:w="120" w:type="dxa"/>
              <w:bottom w:w="100" w:type="dxa"/>
              <w:right w:w="120" w:type="dxa"/>
            </w:tcMar>
            <w:vAlign w:val="center"/>
          </w:tcPr>
          <w:p w14:paraId="0470A930">
            <w:pPr>
              <w:jc w:val="left"/>
            </w:pPr>
            <w:r>
              <w:rPr>
                <w:b w:val="0"/>
                <w:bCs w:val="0"/>
                <w:color w:val="262626"/>
                <w:sz w:val="20"/>
                <w:szCs w:val="20"/>
              </w:rPr>
              <w:t>Data Handling</w:t>
            </w:r>
          </w:p>
        </w:tc>
        <w:tc>
          <w:tcPr>
            <w:tcW w:w="4680" w:type="dxa"/>
            <w:shd w:val="clear" w:color="auto" w:fill="F2F6FB"/>
            <w:tcMar>
              <w:top w:w="100" w:type="dxa"/>
              <w:left w:w="120" w:type="dxa"/>
              <w:bottom w:w="100" w:type="dxa"/>
              <w:right w:w="120" w:type="dxa"/>
            </w:tcMar>
            <w:vAlign w:val="center"/>
          </w:tcPr>
          <w:p w14:paraId="3923836C">
            <w:pPr>
              <w:jc w:val="center"/>
            </w:pPr>
            <w:r>
              <w:rPr>
                <w:b w:val="0"/>
                <w:bCs w:val="0"/>
                <w:color w:val="262626"/>
                <w:sz w:val="20"/>
                <w:szCs w:val="20"/>
              </w:rPr>
              <w:t>Pandas, NumPy</w:t>
            </w:r>
          </w:p>
        </w:tc>
      </w:tr>
      <w:tr w14:paraId="6F35F9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680" w:type="dxa"/>
            <w:tcMar>
              <w:top w:w="100" w:type="dxa"/>
              <w:left w:w="120" w:type="dxa"/>
              <w:bottom w:w="100" w:type="dxa"/>
              <w:right w:w="120" w:type="dxa"/>
            </w:tcMar>
            <w:vAlign w:val="center"/>
          </w:tcPr>
          <w:p w14:paraId="33F5AF4F">
            <w:pPr>
              <w:jc w:val="left"/>
            </w:pPr>
            <w:r>
              <w:rPr>
                <w:b w:val="0"/>
                <w:bCs w:val="0"/>
                <w:color w:val="262626"/>
                <w:sz w:val="20"/>
                <w:szCs w:val="20"/>
              </w:rPr>
              <w:t>Machine Learning</w:t>
            </w:r>
          </w:p>
        </w:tc>
        <w:tc>
          <w:tcPr>
            <w:tcW w:w="4680" w:type="dxa"/>
            <w:tcMar>
              <w:top w:w="100" w:type="dxa"/>
              <w:left w:w="120" w:type="dxa"/>
              <w:bottom w:w="100" w:type="dxa"/>
              <w:right w:w="120" w:type="dxa"/>
            </w:tcMar>
            <w:vAlign w:val="center"/>
          </w:tcPr>
          <w:p w14:paraId="3862DDAC">
            <w:pPr>
              <w:jc w:val="center"/>
            </w:pPr>
            <w:r>
              <w:rPr>
                <w:b w:val="0"/>
                <w:bCs w:val="0"/>
                <w:color w:val="262626"/>
                <w:sz w:val="20"/>
                <w:szCs w:val="20"/>
              </w:rPr>
              <w:t>Scikit-learn</w:t>
            </w:r>
          </w:p>
        </w:tc>
      </w:tr>
      <w:tr w14:paraId="4A8B61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680" w:type="dxa"/>
            <w:shd w:val="clear" w:color="auto" w:fill="F2F6FB"/>
            <w:tcMar>
              <w:top w:w="100" w:type="dxa"/>
              <w:left w:w="120" w:type="dxa"/>
              <w:bottom w:w="100" w:type="dxa"/>
              <w:right w:w="120" w:type="dxa"/>
            </w:tcMar>
            <w:vAlign w:val="center"/>
          </w:tcPr>
          <w:p w14:paraId="0CC3415A">
            <w:pPr>
              <w:jc w:val="left"/>
            </w:pPr>
            <w:r>
              <w:rPr>
                <w:b w:val="0"/>
                <w:bCs w:val="0"/>
                <w:color w:val="262626"/>
                <w:sz w:val="20"/>
                <w:szCs w:val="20"/>
              </w:rPr>
              <w:t>Visualization</w:t>
            </w:r>
          </w:p>
        </w:tc>
        <w:tc>
          <w:tcPr>
            <w:tcW w:w="4680" w:type="dxa"/>
            <w:shd w:val="clear" w:color="auto" w:fill="F2F6FB"/>
            <w:tcMar>
              <w:top w:w="100" w:type="dxa"/>
              <w:left w:w="120" w:type="dxa"/>
              <w:bottom w:w="100" w:type="dxa"/>
              <w:right w:w="120" w:type="dxa"/>
            </w:tcMar>
            <w:vAlign w:val="center"/>
          </w:tcPr>
          <w:p w14:paraId="1BF47D69">
            <w:pPr>
              <w:jc w:val="center"/>
            </w:pPr>
            <w:r>
              <w:rPr>
                <w:b w:val="0"/>
                <w:bCs w:val="0"/>
                <w:color w:val="262626"/>
                <w:sz w:val="20"/>
                <w:szCs w:val="20"/>
              </w:rPr>
              <w:t>Matplotlib</w:t>
            </w:r>
          </w:p>
        </w:tc>
      </w:tr>
      <w:tr w14:paraId="67CCFE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680" w:type="dxa"/>
            <w:tcMar>
              <w:top w:w="100" w:type="dxa"/>
              <w:left w:w="120" w:type="dxa"/>
              <w:bottom w:w="100" w:type="dxa"/>
              <w:right w:w="120" w:type="dxa"/>
            </w:tcMar>
            <w:vAlign w:val="center"/>
          </w:tcPr>
          <w:p w14:paraId="533FA04A">
            <w:pPr>
              <w:jc w:val="left"/>
            </w:pPr>
            <w:r>
              <w:rPr>
                <w:b w:val="0"/>
                <w:bCs w:val="0"/>
                <w:color w:val="262626"/>
                <w:sz w:val="20"/>
                <w:szCs w:val="20"/>
              </w:rPr>
              <w:t>Development Environment</w:t>
            </w:r>
          </w:p>
        </w:tc>
        <w:tc>
          <w:tcPr>
            <w:tcW w:w="4680" w:type="dxa"/>
            <w:tcMar>
              <w:top w:w="100" w:type="dxa"/>
              <w:left w:w="120" w:type="dxa"/>
              <w:bottom w:w="100" w:type="dxa"/>
              <w:right w:w="120" w:type="dxa"/>
            </w:tcMar>
            <w:vAlign w:val="center"/>
          </w:tcPr>
          <w:p w14:paraId="69251725">
            <w:pPr>
              <w:jc w:val="center"/>
            </w:pPr>
            <w:r>
              <w:rPr>
                <w:b w:val="0"/>
                <w:bCs w:val="0"/>
                <w:color w:val="262626"/>
                <w:sz w:val="20"/>
                <w:szCs w:val="20"/>
              </w:rPr>
              <w:t>Google Colab</w:t>
            </w:r>
          </w:p>
        </w:tc>
      </w:tr>
      <w:tr w14:paraId="5379F1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680" w:type="dxa"/>
            <w:shd w:val="clear" w:color="auto" w:fill="F2F6FB"/>
            <w:tcMar>
              <w:top w:w="100" w:type="dxa"/>
              <w:left w:w="120" w:type="dxa"/>
              <w:bottom w:w="100" w:type="dxa"/>
              <w:right w:w="120" w:type="dxa"/>
            </w:tcMar>
            <w:vAlign w:val="center"/>
          </w:tcPr>
          <w:p w14:paraId="46FCB95B">
            <w:pPr>
              <w:jc w:val="left"/>
            </w:pPr>
            <w:r>
              <w:rPr>
                <w:b w:val="0"/>
                <w:bCs w:val="0"/>
                <w:color w:val="262626"/>
                <w:sz w:val="20"/>
                <w:szCs w:val="20"/>
              </w:rPr>
              <w:t>Dataset Source</w:t>
            </w:r>
          </w:p>
        </w:tc>
        <w:tc>
          <w:tcPr>
            <w:tcW w:w="4680" w:type="dxa"/>
            <w:shd w:val="clear" w:color="auto" w:fill="F2F6FB"/>
            <w:tcMar>
              <w:top w:w="100" w:type="dxa"/>
              <w:left w:w="120" w:type="dxa"/>
              <w:bottom w:w="100" w:type="dxa"/>
              <w:right w:w="120" w:type="dxa"/>
            </w:tcMar>
            <w:vAlign w:val="center"/>
          </w:tcPr>
          <w:p w14:paraId="1E7F2FC9">
            <w:pPr>
              <w:jc w:val="center"/>
            </w:pPr>
            <w:r>
              <w:rPr>
                <w:b w:val="0"/>
                <w:bCs w:val="0"/>
                <w:color w:val="262626"/>
                <w:sz w:val="20"/>
                <w:szCs w:val="20"/>
              </w:rPr>
              <w:t>Kaggle</w:t>
            </w:r>
          </w:p>
        </w:tc>
      </w:tr>
      <w:tr w14:paraId="43C5AB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4680" w:type="dxa"/>
            <w:tcMar>
              <w:top w:w="100" w:type="dxa"/>
              <w:left w:w="120" w:type="dxa"/>
              <w:bottom w:w="100" w:type="dxa"/>
              <w:right w:w="120" w:type="dxa"/>
            </w:tcMar>
            <w:vAlign w:val="center"/>
          </w:tcPr>
          <w:p w14:paraId="550C14A0">
            <w:pPr>
              <w:jc w:val="left"/>
            </w:pPr>
            <w:r>
              <w:rPr>
                <w:b w:val="0"/>
                <w:bCs w:val="0"/>
                <w:color w:val="262626"/>
                <w:sz w:val="20"/>
                <w:szCs w:val="20"/>
              </w:rPr>
              <w:t>Version Control</w:t>
            </w:r>
          </w:p>
        </w:tc>
        <w:tc>
          <w:tcPr>
            <w:tcW w:w="4680" w:type="dxa"/>
            <w:tcMar>
              <w:top w:w="100" w:type="dxa"/>
              <w:left w:w="120" w:type="dxa"/>
              <w:bottom w:w="100" w:type="dxa"/>
              <w:right w:w="120" w:type="dxa"/>
            </w:tcMar>
            <w:vAlign w:val="center"/>
          </w:tcPr>
          <w:p w14:paraId="78918233">
            <w:pPr>
              <w:jc w:val="center"/>
            </w:pPr>
            <w:r>
              <w:rPr>
                <w:b w:val="0"/>
                <w:bCs w:val="0"/>
                <w:color w:val="262626"/>
                <w:sz w:val="20"/>
                <w:szCs w:val="20"/>
              </w:rPr>
              <w:t>Git, GitHub</w:t>
            </w:r>
          </w:p>
        </w:tc>
      </w:tr>
    </w:tbl>
    <w:p w14:paraId="019411B4">
      <w:pPr>
        <w:pStyle w:val="2"/>
        <w:pBdr>
          <w:bottom w:val="single" w:color="2E74B5" w:sz="8" w:space="4"/>
        </w:pBdr>
        <w:spacing w:before="480" w:after="240"/>
      </w:pPr>
      <w:r>
        <w:rPr>
          <w:b/>
          <w:bCs/>
          <w:color w:val="1F3864"/>
          <w:sz w:val="30"/>
          <w:szCs w:val="30"/>
        </w:rPr>
        <w:t>1</w:t>
      </w:r>
      <w:r>
        <w:rPr>
          <w:rFonts w:hint="default"/>
          <w:b/>
          <w:bCs/>
          <w:color w:val="1F3864"/>
          <w:sz w:val="30"/>
          <w:szCs w:val="30"/>
          <w:lang w:val="en-IN"/>
        </w:rPr>
        <w:t>7</w:t>
      </w:r>
      <w:r>
        <w:rPr>
          <w:b/>
          <w:bCs/>
          <w:color w:val="1F3864"/>
          <w:sz w:val="30"/>
          <w:szCs w:val="30"/>
        </w:rPr>
        <w:t>. Results &amp; Outcome</w:t>
      </w:r>
    </w:p>
    <w:p w14:paraId="3027BA3E">
      <w:pPr>
        <w:spacing w:after="160" w:line="276" w:lineRule="auto"/>
        <w:jc w:val="both"/>
      </w:pPr>
      <w:r>
        <w:rPr>
          <w:b w:val="0"/>
          <w:bCs w:val="0"/>
          <w:i w:val="0"/>
          <w:iCs w:val="0"/>
          <w:color w:val="262626"/>
          <w:sz w:val="22"/>
          <w:szCs w:val="22"/>
        </w:rPr>
        <w:t>The project successfully delivered a working churn-prediction pipeline, with the Gradient Boosting classifier as the final selected model. Key outcomes include:</w:t>
      </w:r>
    </w:p>
    <w:p w14:paraId="492BA619">
      <w:pPr>
        <w:pStyle w:val="16"/>
        <w:numPr>
          <w:ilvl w:val="0"/>
          <w:numId w:val="2"/>
        </w:numPr>
        <w:spacing w:after="100"/>
      </w:pPr>
      <w:r>
        <w:rPr>
          <w:color w:val="262626"/>
          <w:sz w:val="22"/>
          <w:szCs w:val="22"/>
        </w:rPr>
        <w:t>Test-set accuracy of 96.45%, with a ROC-AUC of 99.10%, indicating strong overall discriminative performance.</w:t>
      </w:r>
    </w:p>
    <w:p w14:paraId="2C21A0A0">
      <w:pPr>
        <w:pStyle w:val="16"/>
        <w:numPr>
          <w:ilvl w:val="0"/>
          <w:numId w:val="2"/>
        </w:numPr>
        <w:spacing w:after="100"/>
      </w:pPr>
      <w:r>
        <w:rPr>
          <w:color w:val="262626"/>
          <w:sz w:val="22"/>
          <w:szCs w:val="22"/>
        </w:rPr>
        <w:t>Precision of 95.02%, meaning the large majority of customers flagged as at-risk were genuinely churn cases.</w:t>
      </w:r>
    </w:p>
    <w:p w14:paraId="78381B4D">
      <w:pPr>
        <w:pStyle w:val="16"/>
        <w:numPr>
          <w:ilvl w:val="0"/>
          <w:numId w:val="2"/>
        </w:numPr>
        <w:spacing w:after="100"/>
      </w:pPr>
      <w:r>
        <w:rPr>
          <w:color w:val="262626"/>
          <w:sz w:val="22"/>
          <w:szCs w:val="22"/>
        </w:rPr>
        <w:t>Recall of 82.15%, meaning the model correctly identified over four out of every five customers who actually churned.</w:t>
      </w:r>
    </w:p>
    <w:p w14:paraId="2BEC2BA2">
      <w:pPr>
        <w:pStyle w:val="16"/>
        <w:numPr>
          <w:ilvl w:val="0"/>
          <w:numId w:val="2"/>
        </w:numPr>
        <w:spacing w:after="100"/>
      </w:pPr>
      <w:r>
        <w:rPr>
          <w:color w:val="262626"/>
          <w:sz w:val="22"/>
          <w:szCs w:val="22"/>
        </w:rPr>
        <w:t>The lowest false-negative count (58) among all three models tested, minimizing missed at-risk customers.</w:t>
      </w:r>
    </w:p>
    <w:p w14:paraId="0750C47F">
      <w:pPr>
        <w:pStyle w:val="16"/>
        <w:numPr>
          <w:ilvl w:val="0"/>
          <w:numId w:val="2"/>
        </w:numPr>
        <w:spacing w:after="100"/>
      </w:pPr>
      <w:r>
        <w:rPr>
          <w:color w:val="262626"/>
          <w:sz w:val="22"/>
          <w:szCs w:val="22"/>
        </w:rPr>
        <w:t>A clear, interpretable ranking of the behavioral drivers of churn, led by transaction count and revolving balance.</w:t>
      </w:r>
    </w:p>
    <w:p w14:paraId="119541EA">
      <w:pPr>
        <w:pStyle w:val="2"/>
        <w:pBdr>
          <w:bottom w:val="single" w:color="2E74B5" w:sz="8" w:space="4"/>
        </w:pBdr>
        <w:spacing w:before="480" w:after="240"/>
      </w:pPr>
      <w:r>
        <w:rPr>
          <w:b/>
          <w:bCs/>
          <w:color w:val="1F3864"/>
          <w:sz w:val="30"/>
          <w:szCs w:val="30"/>
        </w:rPr>
        <w:t>1</w:t>
      </w:r>
      <w:r>
        <w:rPr>
          <w:rFonts w:hint="default"/>
          <w:b/>
          <w:bCs/>
          <w:color w:val="1F3864"/>
          <w:sz w:val="30"/>
          <w:szCs w:val="30"/>
          <w:lang w:val="en-IN"/>
        </w:rPr>
        <w:t>8</w:t>
      </w:r>
      <w:r>
        <w:rPr>
          <w:b/>
          <w:bCs/>
          <w:color w:val="1F3864"/>
          <w:sz w:val="30"/>
          <w:szCs w:val="30"/>
        </w:rPr>
        <w:t>. Business Insights</w:t>
      </w:r>
    </w:p>
    <w:p w14:paraId="110D8389">
      <w:pPr>
        <w:spacing w:after="160" w:line="276" w:lineRule="auto"/>
        <w:jc w:val="both"/>
      </w:pPr>
      <w:r>
        <w:rPr>
          <w:b w:val="0"/>
          <w:bCs w:val="0"/>
          <w:i w:val="0"/>
          <w:iCs w:val="0"/>
          <w:color w:val="262626"/>
          <w:sz w:val="22"/>
          <w:szCs w:val="22"/>
        </w:rPr>
        <w:t>Several actionable insights emerge from the model's results and feature analysis:</w:t>
      </w:r>
    </w:p>
    <w:p w14:paraId="75C5AD79">
      <w:pPr>
        <w:pStyle w:val="16"/>
        <w:numPr>
          <w:ilvl w:val="0"/>
          <w:numId w:val="2"/>
        </w:numPr>
        <w:spacing w:after="100"/>
      </w:pPr>
      <w:r>
        <w:rPr>
          <w:color w:val="262626"/>
          <w:sz w:val="22"/>
          <w:szCs w:val="22"/>
        </w:rPr>
        <w:t>Declining transaction activity is the single strongest early warning sign of churn, suggesting that usage-monitoring alerts could form the basis of an early-intervention system.</w:t>
      </w:r>
    </w:p>
    <w:p w14:paraId="636F17D9">
      <w:pPr>
        <w:pStyle w:val="16"/>
        <w:numPr>
          <w:ilvl w:val="0"/>
          <w:numId w:val="2"/>
        </w:numPr>
        <w:spacing w:after="100"/>
      </w:pPr>
      <w:r>
        <w:rPr>
          <w:color w:val="262626"/>
          <w:sz w:val="22"/>
          <w:szCs w:val="22"/>
        </w:rPr>
        <w:t>Revolving balance and total transaction amount are strong secondary indicators, pointing to overall account engagement as a key retention lever.</w:t>
      </w:r>
    </w:p>
    <w:p w14:paraId="39331CEC">
      <w:pPr>
        <w:pStyle w:val="16"/>
        <w:numPr>
          <w:ilvl w:val="0"/>
          <w:numId w:val="2"/>
        </w:numPr>
        <w:spacing w:after="100"/>
      </w:pPr>
      <w:r>
        <w:rPr>
          <w:color w:val="262626"/>
          <w:sz w:val="22"/>
          <w:szCs w:val="22"/>
        </w:rPr>
        <w:t>Customers with fewer relationships/products with the bank (Total_Relationship_Count) appear more likely to churn, suggesting cross-sell of additional products may improve retention.</w:t>
      </w:r>
    </w:p>
    <w:p w14:paraId="4B18865A">
      <w:pPr>
        <w:pStyle w:val="16"/>
        <w:numPr>
          <w:ilvl w:val="0"/>
          <w:numId w:val="2"/>
        </w:numPr>
        <w:spacing w:after="100"/>
      </w:pPr>
      <w:r>
        <w:rPr>
          <w:color w:val="262626"/>
          <w:sz w:val="22"/>
          <w:szCs w:val="22"/>
        </w:rPr>
        <w:t>Because the model outputs a calibrated churn probability rather than a binary label alone, the business can set risk-based thresholds — for example, prioritizing outreach only for customers above a chosen probability cutoff.</w:t>
      </w:r>
    </w:p>
    <w:p w14:paraId="6480674E">
      <w:pPr>
        <w:pStyle w:val="2"/>
        <w:pBdr>
          <w:bottom w:val="single" w:color="2E74B5" w:sz="8" w:space="4"/>
        </w:pBdr>
        <w:spacing w:before="480" w:after="240"/>
      </w:pPr>
      <w:r>
        <w:rPr>
          <w:rFonts w:hint="default"/>
          <w:b/>
          <w:bCs/>
          <w:color w:val="1F3864"/>
          <w:sz w:val="30"/>
          <w:szCs w:val="30"/>
          <w:lang w:val="en-IN"/>
        </w:rPr>
        <w:t>19</w:t>
      </w:r>
      <w:r>
        <w:rPr>
          <w:b/>
          <w:bCs/>
          <w:color w:val="1F3864"/>
          <w:sz w:val="30"/>
          <w:szCs w:val="30"/>
        </w:rPr>
        <w:t>. Challenges &amp; Solutions</w:t>
      </w:r>
    </w:p>
    <w:tbl>
      <w:tblPr>
        <w:tblStyle w:val="9"/>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800"/>
        <w:gridCol w:w="5560"/>
      </w:tblGrid>
      <w:tr w14:paraId="274E8A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rPr>
          <w:tblHeader/>
        </w:trPr>
        <w:tc>
          <w:tcPr>
            <w:tcW w:w="3800" w:type="dxa"/>
            <w:shd w:val="clear" w:color="auto" w:fill="1F3864"/>
            <w:tcMar>
              <w:top w:w="100" w:type="dxa"/>
              <w:left w:w="120" w:type="dxa"/>
              <w:bottom w:w="100" w:type="dxa"/>
              <w:right w:w="120" w:type="dxa"/>
            </w:tcMar>
            <w:vAlign w:val="center"/>
          </w:tcPr>
          <w:p w14:paraId="65C78002">
            <w:pPr>
              <w:jc w:val="left"/>
            </w:pPr>
            <w:r>
              <w:rPr>
                <w:b/>
                <w:bCs/>
                <w:color w:val="FFFFFF"/>
                <w:sz w:val="20"/>
                <w:szCs w:val="20"/>
              </w:rPr>
              <w:t>Challenge</w:t>
            </w:r>
          </w:p>
        </w:tc>
        <w:tc>
          <w:tcPr>
            <w:tcW w:w="5560" w:type="dxa"/>
            <w:shd w:val="clear" w:color="auto" w:fill="1F3864"/>
            <w:tcMar>
              <w:top w:w="100" w:type="dxa"/>
              <w:left w:w="120" w:type="dxa"/>
              <w:bottom w:w="100" w:type="dxa"/>
              <w:right w:w="120" w:type="dxa"/>
            </w:tcMar>
            <w:vAlign w:val="center"/>
          </w:tcPr>
          <w:p w14:paraId="17D95AEA">
            <w:pPr>
              <w:jc w:val="center"/>
            </w:pPr>
            <w:r>
              <w:rPr>
                <w:b/>
                <w:bCs/>
                <w:color w:val="FFFFFF"/>
                <w:sz w:val="20"/>
                <w:szCs w:val="20"/>
              </w:rPr>
              <w:t>Solution Applied</w:t>
            </w:r>
          </w:p>
        </w:tc>
      </w:tr>
      <w:tr w14:paraId="4E9238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00" w:type="dxa"/>
            <w:tcMar>
              <w:top w:w="100" w:type="dxa"/>
              <w:left w:w="120" w:type="dxa"/>
              <w:bottom w:w="100" w:type="dxa"/>
              <w:right w:w="120" w:type="dxa"/>
            </w:tcMar>
            <w:vAlign w:val="center"/>
          </w:tcPr>
          <w:p w14:paraId="197CF1B7">
            <w:pPr>
              <w:jc w:val="left"/>
            </w:pPr>
            <w:r>
              <w:rPr>
                <w:b w:val="0"/>
                <w:bCs w:val="0"/>
                <w:color w:val="262626"/>
                <w:sz w:val="20"/>
                <w:szCs w:val="20"/>
              </w:rPr>
              <w:t>Class imbalance (83.93% vs 16.07%)</w:t>
            </w:r>
          </w:p>
        </w:tc>
        <w:tc>
          <w:tcPr>
            <w:tcW w:w="5560" w:type="dxa"/>
            <w:tcMar>
              <w:top w:w="100" w:type="dxa"/>
              <w:left w:w="120" w:type="dxa"/>
              <w:bottom w:w="100" w:type="dxa"/>
              <w:right w:w="120" w:type="dxa"/>
            </w:tcMar>
            <w:vAlign w:val="center"/>
          </w:tcPr>
          <w:p w14:paraId="1678033E">
            <w:pPr>
              <w:jc w:val="center"/>
            </w:pPr>
            <w:r>
              <w:rPr>
                <w:b w:val="0"/>
                <w:bCs w:val="0"/>
                <w:color w:val="262626"/>
                <w:sz w:val="20"/>
                <w:szCs w:val="20"/>
              </w:rPr>
              <w:t>Used stratified train/test split and cross-validation, and evaluated models with precision, recall, F1-score, and ROC-AUC rather than accuracy alone.</w:t>
            </w:r>
          </w:p>
        </w:tc>
      </w:tr>
      <w:tr w14:paraId="3A99C9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00" w:type="dxa"/>
            <w:shd w:val="clear" w:color="auto" w:fill="F2F6FB"/>
            <w:tcMar>
              <w:top w:w="100" w:type="dxa"/>
              <w:left w:w="120" w:type="dxa"/>
              <w:bottom w:w="100" w:type="dxa"/>
              <w:right w:w="120" w:type="dxa"/>
            </w:tcMar>
            <w:vAlign w:val="center"/>
          </w:tcPr>
          <w:p w14:paraId="17F8615E">
            <w:pPr>
              <w:jc w:val="left"/>
            </w:pPr>
            <w:r>
              <w:rPr>
                <w:b w:val="0"/>
                <w:bCs w:val="0"/>
                <w:color w:val="262626"/>
                <w:sz w:val="20"/>
                <w:szCs w:val="20"/>
              </w:rPr>
              <w:t>Risk of target leakage from pre-existing Naive Bayes classifier columns</w:t>
            </w:r>
          </w:p>
        </w:tc>
        <w:tc>
          <w:tcPr>
            <w:tcW w:w="5560" w:type="dxa"/>
            <w:shd w:val="clear" w:color="auto" w:fill="F2F6FB"/>
            <w:tcMar>
              <w:top w:w="100" w:type="dxa"/>
              <w:left w:w="120" w:type="dxa"/>
              <w:bottom w:w="100" w:type="dxa"/>
              <w:right w:w="120" w:type="dxa"/>
            </w:tcMar>
            <w:vAlign w:val="center"/>
          </w:tcPr>
          <w:p w14:paraId="4CB85E08">
            <w:pPr>
              <w:jc w:val="center"/>
            </w:pPr>
            <w:r>
              <w:rPr>
                <w:b w:val="0"/>
                <w:bCs w:val="0"/>
                <w:color w:val="262626"/>
                <w:sz w:val="20"/>
                <w:szCs w:val="20"/>
              </w:rPr>
              <w:t>Identified and removed both leakage-prone columns before model training.</w:t>
            </w:r>
          </w:p>
        </w:tc>
      </w:tr>
      <w:tr w14:paraId="60BA91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00" w:type="dxa"/>
            <w:tcMar>
              <w:top w:w="100" w:type="dxa"/>
              <w:left w:w="120" w:type="dxa"/>
              <w:bottom w:w="100" w:type="dxa"/>
              <w:right w:w="120" w:type="dxa"/>
            </w:tcMar>
            <w:vAlign w:val="center"/>
          </w:tcPr>
          <w:p w14:paraId="059797E9">
            <w:pPr>
              <w:jc w:val="left"/>
            </w:pPr>
            <w:r>
              <w:rPr>
                <w:b w:val="0"/>
                <w:bCs w:val="0"/>
                <w:color w:val="262626"/>
                <w:sz w:val="20"/>
                <w:szCs w:val="20"/>
              </w:rPr>
              <w:t>Mixed categorical and numerical feature types</w:t>
            </w:r>
          </w:p>
        </w:tc>
        <w:tc>
          <w:tcPr>
            <w:tcW w:w="5560" w:type="dxa"/>
            <w:tcMar>
              <w:top w:w="100" w:type="dxa"/>
              <w:left w:w="120" w:type="dxa"/>
              <w:bottom w:w="100" w:type="dxa"/>
              <w:right w:w="120" w:type="dxa"/>
            </w:tcMar>
            <w:vAlign w:val="center"/>
          </w:tcPr>
          <w:p w14:paraId="6E46DCD2">
            <w:pPr>
              <w:jc w:val="center"/>
            </w:pPr>
            <w:r>
              <w:rPr>
                <w:b w:val="0"/>
                <w:bCs w:val="0"/>
                <w:color w:val="262626"/>
                <w:sz w:val="20"/>
                <w:szCs w:val="20"/>
              </w:rPr>
              <w:t>Built a unified Scikit-learn Pipeline with a ColumnTransformer applying OneHotEncoder and StandardScaler appropriately.</w:t>
            </w:r>
          </w:p>
        </w:tc>
      </w:tr>
      <w:tr w14:paraId="49E8CB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 w:type="dxa"/>
            <w:bottom w:w="0" w:type="dxa"/>
            <w:right w:w="10" w:type="dxa"/>
          </w:tblCellMar>
        </w:tblPrEx>
        <w:tc>
          <w:tcPr>
            <w:tcW w:w="3800" w:type="dxa"/>
            <w:shd w:val="clear" w:color="auto" w:fill="F2F6FB"/>
            <w:tcMar>
              <w:top w:w="100" w:type="dxa"/>
              <w:left w:w="120" w:type="dxa"/>
              <w:bottom w:w="100" w:type="dxa"/>
              <w:right w:w="120" w:type="dxa"/>
            </w:tcMar>
            <w:vAlign w:val="center"/>
          </w:tcPr>
          <w:p w14:paraId="15A9EF08">
            <w:pPr>
              <w:jc w:val="left"/>
            </w:pPr>
            <w:r>
              <w:rPr>
                <w:b w:val="0"/>
                <w:bCs w:val="0"/>
                <w:color w:val="262626"/>
                <w:sz w:val="20"/>
                <w:szCs w:val="20"/>
              </w:rPr>
              <w:t>"Unknown" categorical values</w:t>
            </w:r>
          </w:p>
        </w:tc>
        <w:tc>
          <w:tcPr>
            <w:tcW w:w="5560" w:type="dxa"/>
            <w:shd w:val="clear" w:color="auto" w:fill="F2F6FB"/>
            <w:tcMar>
              <w:top w:w="100" w:type="dxa"/>
              <w:left w:w="120" w:type="dxa"/>
              <w:bottom w:w="100" w:type="dxa"/>
              <w:right w:w="120" w:type="dxa"/>
            </w:tcMar>
            <w:vAlign w:val="center"/>
          </w:tcPr>
          <w:p w14:paraId="1AC1B65A">
            <w:pPr>
              <w:jc w:val="center"/>
            </w:pPr>
            <w:r>
              <w:rPr>
                <w:b w:val="0"/>
                <w:bCs w:val="0"/>
                <w:color w:val="262626"/>
                <w:sz w:val="20"/>
                <w:szCs w:val="20"/>
              </w:rPr>
              <w:t>Retained as a distinct category instead of imputing, preserving potentially meaningful information.</w:t>
            </w:r>
          </w:p>
        </w:tc>
      </w:tr>
    </w:tbl>
    <w:p w14:paraId="47AA665C">
      <w:pPr>
        <w:pStyle w:val="2"/>
        <w:pBdr>
          <w:bottom w:val="single" w:color="2E74B5" w:sz="8" w:space="4"/>
        </w:pBdr>
        <w:spacing w:before="480" w:after="240"/>
      </w:pPr>
      <w:r>
        <w:rPr>
          <w:b/>
          <w:bCs/>
          <w:color w:val="1F3864"/>
          <w:sz w:val="30"/>
          <w:szCs w:val="30"/>
        </w:rPr>
        <w:t>2</w:t>
      </w:r>
      <w:r>
        <w:rPr>
          <w:rFonts w:hint="default"/>
          <w:b/>
          <w:bCs/>
          <w:color w:val="1F3864"/>
          <w:sz w:val="30"/>
          <w:szCs w:val="30"/>
          <w:lang w:val="en-IN"/>
        </w:rPr>
        <w:t>0</w:t>
      </w:r>
      <w:r>
        <w:rPr>
          <w:b/>
          <w:bCs/>
          <w:color w:val="1F3864"/>
          <w:sz w:val="30"/>
          <w:szCs w:val="30"/>
        </w:rPr>
        <w:t>. Limitations</w:t>
      </w:r>
    </w:p>
    <w:p w14:paraId="4EEAF2D8">
      <w:pPr>
        <w:pStyle w:val="16"/>
        <w:numPr>
          <w:ilvl w:val="0"/>
          <w:numId w:val="2"/>
        </w:numPr>
        <w:spacing w:after="100"/>
      </w:pPr>
      <w:r>
        <w:rPr>
          <w:color w:val="262626"/>
          <w:sz w:val="22"/>
          <w:szCs w:val="22"/>
        </w:rPr>
        <w:t>The dataset is a static snapshot; it does not capture how customer behavior changes over time, which could improve early-warning capability.</w:t>
      </w:r>
    </w:p>
    <w:p w14:paraId="2C7B58BC">
      <w:pPr>
        <w:pStyle w:val="16"/>
        <w:numPr>
          <w:ilvl w:val="0"/>
          <w:numId w:val="2"/>
        </w:numPr>
        <w:spacing w:after="100"/>
      </w:pPr>
      <w:r>
        <w:rPr>
          <w:color w:val="262626"/>
          <w:sz w:val="22"/>
          <w:szCs w:val="22"/>
        </w:rPr>
        <w:t>The dataset originates from a single anonymized source and geographic/institutional context, which may limit generalizability to other banks or regions.</w:t>
      </w:r>
    </w:p>
    <w:p w14:paraId="116A1513">
      <w:pPr>
        <w:pStyle w:val="16"/>
        <w:numPr>
          <w:ilvl w:val="0"/>
          <w:numId w:val="2"/>
        </w:numPr>
        <w:spacing w:after="100"/>
      </w:pPr>
      <w:r>
        <w:rPr>
          <w:color w:val="262626"/>
          <w:sz w:val="22"/>
          <w:szCs w:val="22"/>
        </w:rPr>
        <w:t>Feature importance reflects correlation-based contribution to the model and should not be interpreted as a causal explanation of why customers churn.</w:t>
      </w:r>
    </w:p>
    <w:p w14:paraId="23DBCC7F">
      <w:pPr>
        <w:pStyle w:val="16"/>
        <w:numPr>
          <w:ilvl w:val="0"/>
          <w:numId w:val="2"/>
        </w:numPr>
        <w:spacing w:after="100"/>
      </w:pPr>
      <w:r>
        <w:rPr>
          <w:color w:val="262626"/>
          <w:sz w:val="22"/>
          <w:szCs w:val="22"/>
        </w:rPr>
        <w:t>The class imbalance, while addressed through appropriate metrics, means that even a well-performing model will occasionally misclassify minority-class (Attrited) customers.</w:t>
      </w:r>
    </w:p>
    <w:p w14:paraId="6F6BD935">
      <w:pPr>
        <w:pStyle w:val="2"/>
        <w:pBdr>
          <w:bottom w:val="single" w:color="2E74B5" w:sz="8" w:space="4"/>
        </w:pBdr>
        <w:spacing w:before="480" w:after="240"/>
      </w:pPr>
      <w:r>
        <w:rPr>
          <w:b/>
          <w:bCs/>
          <w:color w:val="1F3864"/>
          <w:sz w:val="30"/>
          <w:szCs w:val="30"/>
        </w:rPr>
        <w:t>2</w:t>
      </w:r>
      <w:r>
        <w:rPr>
          <w:rFonts w:hint="default"/>
          <w:b/>
          <w:bCs/>
          <w:color w:val="1F3864"/>
          <w:sz w:val="30"/>
          <w:szCs w:val="30"/>
          <w:lang w:val="en-IN"/>
        </w:rPr>
        <w:t>1</w:t>
      </w:r>
      <w:r>
        <w:rPr>
          <w:b/>
          <w:bCs/>
          <w:color w:val="1F3864"/>
          <w:sz w:val="30"/>
          <w:szCs w:val="30"/>
        </w:rPr>
        <w:t>. Conclusion</w:t>
      </w:r>
    </w:p>
    <w:p w14:paraId="596E69B1">
      <w:pPr>
        <w:spacing w:after="160" w:line="276" w:lineRule="auto"/>
        <w:jc w:val="both"/>
      </w:pPr>
      <w:r>
        <w:rPr>
          <w:b w:val="0"/>
          <w:bCs w:val="0"/>
          <w:i w:val="0"/>
          <w:iCs w:val="0"/>
          <w:color w:val="262626"/>
          <w:sz w:val="22"/>
          <w:szCs w:val="22"/>
        </w:rPr>
        <w:t>This project demonstrates a complete, structured machine learning workflow for predicting credit card customer churn, from raw data through to an interpretable, evaluated, and demonstrated final model. Among the three models tested, Gradient Boosting was clearly the strongest performer, combining high accuracy, high precision, and the best balance of recall and false-negative minimization, backed by a ROC-AUC of 99.10%.</w:t>
      </w:r>
    </w:p>
    <w:p w14:paraId="4C69187F">
      <w:pPr>
        <w:spacing w:after="160" w:line="276" w:lineRule="auto"/>
        <w:jc w:val="both"/>
      </w:pPr>
      <w:r>
        <w:rPr>
          <w:b w:val="0"/>
          <w:bCs w:val="0"/>
          <w:i w:val="0"/>
          <w:iCs w:val="0"/>
          <w:color w:val="262626"/>
          <w:sz w:val="22"/>
          <w:szCs w:val="22"/>
        </w:rPr>
        <w:t>The resulting model is not only accurate but also interpretable and business-relevant: it identifies the specific behavioral signals — transaction count, revolving balance, and transaction amount — that most strongly precede churn, and it produces individual customer-level probabilities that can directly support a prioritized retention strategy.</w:t>
      </w:r>
    </w:p>
    <w:p w14:paraId="7A0016E6">
      <w:pPr>
        <w:pStyle w:val="2"/>
        <w:pBdr>
          <w:bottom w:val="single" w:color="2E74B5" w:sz="8" w:space="4"/>
        </w:pBdr>
        <w:spacing w:before="480" w:after="240"/>
      </w:pPr>
      <w:r>
        <w:rPr>
          <w:b/>
          <w:bCs/>
          <w:color w:val="1F3864"/>
          <w:sz w:val="30"/>
          <w:szCs w:val="30"/>
        </w:rPr>
        <w:t>2</w:t>
      </w:r>
      <w:r>
        <w:rPr>
          <w:rFonts w:hint="default"/>
          <w:b/>
          <w:bCs/>
          <w:color w:val="1F3864"/>
          <w:sz w:val="30"/>
          <w:szCs w:val="30"/>
          <w:lang w:val="en-IN"/>
        </w:rPr>
        <w:t>2</w:t>
      </w:r>
      <w:r>
        <w:rPr>
          <w:b/>
          <w:bCs/>
          <w:color w:val="1F3864"/>
          <w:sz w:val="30"/>
          <w:szCs w:val="30"/>
        </w:rPr>
        <w:t>. Learning Outcomes</w:t>
      </w:r>
    </w:p>
    <w:p w14:paraId="257967A5">
      <w:pPr>
        <w:pStyle w:val="16"/>
        <w:numPr>
          <w:ilvl w:val="0"/>
          <w:numId w:val="2"/>
        </w:numPr>
        <w:spacing w:after="100"/>
      </w:pPr>
      <w:r>
        <w:rPr>
          <w:color w:val="262626"/>
          <w:sz w:val="22"/>
          <w:szCs w:val="22"/>
        </w:rPr>
        <w:t>Practical experience building an end-to-end supervised machine learning pipeline using Scikit-learn Pipelines and ColumnTransformer.</w:t>
      </w:r>
    </w:p>
    <w:p w14:paraId="03EB5203">
      <w:pPr>
        <w:pStyle w:val="16"/>
        <w:numPr>
          <w:ilvl w:val="0"/>
          <w:numId w:val="2"/>
        </w:numPr>
        <w:spacing w:after="100"/>
      </w:pPr>
      <w:r>
        <w:rPr>
          <w:color w:val="262626"/>
          <w:sz w:val="22"/>
          <w:szCs w:val="22"/>
        </w:rPr>
        <w:t>Understanding of the risks of target leakage and how to identify and remove leakage-prone features.</w:t>
      </w:r>
    </w:p>
    <w:p w14:paraId="150B71B5">
      <w:pPr>
        <w:pStyle w:val="16"/>
        <w:numPr>
          <w:ilvl w:val="0"/>
          <w:numId w:val="2"/>
        </w:numPr>
        <w:spacing w:after="100"/>
      </w:pPr>
      <w:r>
        <w:rPr>
          <w:color w:val="262626"/>
          <w:sz w:val="22"/>
          <w:szCs w:val="22"/>
        </w:rPr>
        <w:t>Hands-on application of feature engineering to derive behaviorally meaningful predictors from raw transaction data.</w:t>
      </w:r>
    </w:p>
    <w:p w14:paraId="467AF22C">
      <w:pPr>
        <w:pStyle w:val="16"/>
        <w:numPr>
          <w:ilvl w:val="0"/>
          <w:numId w:val="2"/>
        </w:numPr>
        <w:spacing w:after="100"/>
      </w:pPr>
      <w:r>
        <w:rPr>
          <w:color w:val="262626"/>
          <w:sz w:val="22"/>
          <w:szCs w:val="22"/>
        </w:rPr>
        <w:t>Experience evaluating classification models on imbalanced datasets using precision, recall, F1-score, and ROC-AUC.</w:t>
      </w:r>
    </w:p>
    <w:p w14:paraId="417D25F3">
      <w:pPr>
        <w:pStyle w:val="16"/>
        <w:numPr>
          <w:ilvl w:val="0"/>
          <w:numId w:val="2"/>
        </w:numPr>
        <w:spacing w:after="100"/>
      </w:pPr>
      <w:r>
        <w:rPr>
          <w:color w:val="262626"/>
          <w:sz w:val="22"/>
          <w:szCs w:val="22"/>
        </w:rPr>
        <w:t>Ability to interpret model outputs (feature importance, confusion matrices, ROC curves) in a business context rather than purely a technical one.</w:t>
      </w:r>
    </w:p>
    <w:p w14:paraId="1CB8D500">
      <w:pPr>
        <w:pStyle w:val="2"/>
        <w:pBdr>
          <w:bottom w:val="single" w:color="2E74B5" w:sz="8" w:space="4"/>
        </w:pBdr>
        <w:spacing w:before="480" w:after="240"/>
      </w:pPr>
      <w:r>
        <w:rPr>
          <w:b/>
          <w:bCs/>
          <w:color w:val="1F3864"/>
          <w:sz w:val="30"/>
          <w:szCs w:val="30"/>
        </w:rPr>
        <w:t>2</w:t>
      </w:r>
      <w:r>
        <w:rPr>
          <w:rFonts w:hint="default"/>
          <w:b/>
          <w:bCs/>
          <w:color w:val="1F3864"/>
          <w:sz w:val="30"/>
          <w:szCs w:val="30"/>
          <w:lang w:val="en-IN"/>
        </w:rPr>
        <w:t>3</w:t>
      </w:r>
      <w:r>
        <w:rPr>
          <w:b/>
          <w:bCs/>
          <w:color w:val="1F3864"/>
          <w:sz w:val="30"/>
          <w:szCs w:val="30"/>
        </w:rPr>
        <w:t>. References</w:t>
      </w:r>
    </w:p>
    <w:p w14:paraId="6A723FDE">
      <w:pPr>
        <w:pStyle w:val="16"/>
        <w:numPr>
          <w:ilvl w:val="0"/>
          <w:numId w:val="2"/>
        </w:numPr>
        <w:spacing w:after="100"/>
      </w:pPr>
      <w:r>
        <w:rPr>
          <w:color w:val="262626"/>
          <w:sz w:val="22"/>
          <w:szCs w:val="22"/>
        </w:rPr>
        <w:t>Kaggle — BankChurners / Credit Card Customers Dataset.</w:t>
      </w:r>
    </w:p>
    <w:p w14:paraId="18F8CC3B">
      <w:pPr>
        <w:pStyle w:val="16"/>
        <w:numPr>
          <w:ilvl w:val="0"/>
          <w:numId w:val="2"/>
        </w:numPr>
        <w:spacing w:after="100"/>
      </w:pPr>
      <w:r>
        <w:rPr>
          <w:color w:val="262626"/>
          <w:sz w:val="22"/>
          <w:szCs w:val="22"/>
        </w:rPr>
        <w:t>Scikit-learn Documentation — https://scikit-learn.org/</w:t>
      </w:r>
    </w:p>
    <w:p w14:paraId="6A045D7B">
      <w:pPr>
        <w:pStyle w:val="16"/>
        <w:numPr>
          <w:ilvl w:val="0"/>
          <w:numId w:val="2"/>
        </w:numPr>
        <w:spacing w:after="100"/>
      </w:pPr>
      <w:r>
        <w:rPr>
          <w:color w:val="262626"/>
          <w:sz w:val="22"/>
          <w:szCs w:val="22"/>
        </w:rPr>
        <w:t>Pandas Documentation — https://pandas.pydata.org/</w:t>
      </w:r>
    </w:p>
    <w:p w14:paraId="57B9FF0C">
      <w:pPr>
        <w:pStyle w:val="16"/>
        <w:numPr>
          <w:ilvl w:val="0"/>
          <w:numId w:val="2"/>
        </w:numPr>
        <w:spacing w:after="100"/>
      </w:pPr>
      <w:r>
        <w:rPr>
          <w:color w:val="262626"/>
          <w:sz w:val="22"/>
          <w:szCs w:val="22"/>
        </w:rPr>
        <w:t>NumPy Documentation — https://numpy.org/</w:t>
      </w:r>
    </w:p>
    <w:p w14:paraId="7A56172F">
      <w:pPr>
        <w:pStyle w:val="16"/>
        <w:numPr>
          <w:ilvl w:val="0"/>
          <w:numId w:val="2"/>
        </w:numPr>
        <w:spacing w:after="100"/>
      </w:pPr>
      <w:r>
        <w:rPr>
          <w:color w:val="262626"/>
          <w:sz w:val="22"/>
          <w:szCs w:val="22"/>
        </w:rPr>
        <w:t>Matplotlib Documentation — https://matplotlib.org/</w:t>
      </w:r>
    </w:p>
    <w:p w14:paraId="1B668483">
      <w:pPr>
        <w:pStyle w:val="16"/>
        <w:numPr>
          <w:ilvl w:val="0"/>
          <w:numId w:val="2"/>
        </w:numPr>
        <w:spacing w:after="100"/>
      </w:pPr>
      <w:r>
        <w:rPr>
          <w:color w:val="262626"/>
          <w:sz w:val="22"/>
          <w:szCs w:val="22"/>
        </w:rPr>
        <w:t>Google Colaboratory — https://colab.research.google.com/</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78D04">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EF213">
    <w:pPr>
      <w:pBdr>
        <w:bottom w:val="single" w:color="BFBFBF" w:sz="4" w:space="4"/>
      </w:pBdr>
      <w:jc w:val="right"/>
    </w:pPr>
    <w:r>
      <w:rPr>
        <w:i/>
        <w:iCs/>
        <w:color w:val="595959"/>
        <w:sz w:val="16"/>
        <w:szCs w:val="16"/>
      </w:rPr>
      <w:t>Credit Card Customer Churn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60" w:hanging="260"/>
      </w:pPr>
    </w:lvl>
    <w:lvl w:ilvl="1" w:tentative="0">
      <w:start w:val="1"/>
      <w:numFmt w:val="bullet"/>
      <w:lvlText w:val="–"/>
      <w:lvlJc w:val="left"/>
      <w:pPr>
        <w:ind w:left="820" w:hanging="260"/>
      </w:pPr>
    </w:lvl>
  </w:abstractNum>
  <w:abstractNum w:abstractNumId="1">
    <w:nsid w:val="0053208E"/>
    <w:multiLevelType w:val="singleLevel"/>
    <w:tmpl w:val="0053208E"/>
    <w:lvl w:ilvl="0" w:tentative="0">
      <w:start w:val="1"/>
      <w:numFmt w:val="decimal"/>
      <w:lvlText w:val="%1."/>
      <w:lvlJc w:val="left"/>
      <w:pPr>
        <w:ind w:left="460" w:hanging="260"/>
      </w:pPr>
    </w:lvl>
  </w:abstractNum>
  <w:abstractNum w:abstractNumId="2">
    <w:nsid w:val="25B654F3"/>
    <w:multiLevelType w:val="singleLevel"/>
    <w:tmpl w:val="25B654F3"/>
    <w:lvl w:ilvl="0" w:tentative="0">
      <w:start w:val="1"/>
      <w:numFmt w:val="decimal"/>
      <w:lvlText w:val="%1."/>
      <w:lvlJc w:val="left"/>
      <w:pPr>
        <w:ind w:left="460" w:hanging="2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isplayBackgroundShape w:val="1"/>
  <w:documentProtection w:enforcement="0"/>
  <w:compat>
    <w:compatSetting w:name="compatibilityMode" w:uri="http://schemas.microsoft.com/office/word" w:val="15"/>
  </w:compat>
  <w:rsids>
    <w:rsidRoot w:val="00000000"/>
    <w:rsid w:val="041A09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62626"/>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262626"/>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262626"/>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262626"/>
      <w:sz w:val="56"/>
      <w:szCs w:val="56"/>
    </w:rPr>
  </w:style>
  <w:style w:type="paragraph" w:styleId="16">
    <w:name w:val="List Paragraph"/>
    <w:qFormat/>
    <w:uiPriority w:val="0"/>
    <w:rPr>
      <w:rFonts w:ascii="Calibri" w:hAnsi="Calibri" w:eastAsia="Calibri" w:cs="Calibri"/>
      <w:color w:val="262626"/>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1609</Words>
  <Characters>10262</Characters>
  <TotalTime>13</TotalTime>
  <ScaleCrop>false</ScaleCrop>
  <LinksUpToDate>false</LinksUpToDate>
  <CharactersWithSpaces>11632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2026-09-02T14:14:00Z</dcterms:created>
  <dc:creator>Machine Learning Project Report</dc:creator>
  <cp:lastModifiedBy>shravani sadawarte</cp:lastModifiedBy>
  <dcterms:modified xsi:type="dcterms:W3CDTF">2026-09-02T14:31:09Z</dcterms:modified>
  <dc:title>Credit Card Customer Churn Prediction Using Machine Learning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eyJoZGlkIjoiMTk5MDE4NTNlNjYwNDVmNzI0NTA0YjRjNDQ4YjgzY2QiLCJ1c2VySWQiOiI1Njc1NjUwNTcxNzMifQ==</vt:lpwstr>
  </property>
  <property fmtid="{D5CDD505-2E9C-101B-9397-08002B2CF9AE}" pid="3" name="KSOProductBuildVer">
    <vt:lpwstr>1033-12.1.0.28032</vt:lpwstr>
  </property>
  <property fmtid="{D5CDD505-2E9C-101B-9397-08002B2CF9AE}" pid="4" name="ICV">
    <vt:lpwstr>769718B61C5E45B7B648677C5A91A1DB_12</vt:lpwstr>
  </property>
</Properties>
</file>