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E43B1" w14:textId="36240A3C" w:rsidR="00855CE3" w:rsidRDefault="00A12528">
      <w:bookmarkStart w:id="0" w:name="_Hlk212653844"/>
      <w:bookmarkEnd w:id="0"/>
      <w:r>
        <w:rPr>
          <w:noProof/>
        </w:rPr>
        <w:drawing>
          <wp:anchor distT="0" distB="0" distL="114300" distR="114300" simplePos="0" relativeHeight="251658240" behindDoc="1" locked="0" layoutInCell="1" allowOverlap="1" wp14:anchorId="54C7C484" wp14:editId="1E111556">
            <wp:simplePos x="0" y="0"/>
            <wp:positionH relativeFrom="margin">
              <wp:align>center</wp:align>
            </wp:positionH>
            <wp:positionV relativeFrom="paragraph">
              <wp:posOffset>-450850</wp:posOffset>
            </wp:positionV>
            <wp:extent cx="4733554" cy="1423419"/>
            <wp:effectExtent l="0" t="0" r="0" b="5715"/>
            <wp:wrapNone/>
            <wp:docPr id="47913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36197" name="Picture 4791361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3554" cy="1423419"/>
                    </a:xfrm>
                    <a:prstGeom prst="rect">
                      <a:avLst/>
                    </a:prstGeom>
                  </pic:spPr>
                </pic:pic>
              </a:graphicData>
            </a:graphic>
          </wp:anchor>
        </w:drawing>
      </w:r>
      <w:r>
        <w:t xml:space="preserve">                                     </w:t>
      </w:r>
    </w:p>
    <w:p w14:paraId="431C7A5A" w14:textId="77777777" w:rsidR="00A12528" w:rsidRDefault="00A12528"/>
    <w:p w14:paraId="1BF549A6" w14:textId="77777777" w:rsidR="00A12528" w:rsidRDefault="00A12528"/>
    <w:p w14:paraId="0E663397" w14:textId="77777777" w:rsidR="00A12528" w:rsidRDefault="00A12528"/>
    <w:p w14:paraId="02D0AEA0" w14:textId="77777777" w:rsidR="00A12528" w:rsidRDefault="00A12528"/>
    <w:p w14:paraId="08AA8C13" w14:textId="77777777" w:rsidR="00A12528" w:rsidRDefault="00A12528" w:rsidP="00A12528">
      <w:pPr>
        <w:jc w:val="center"/>
        <w:rPr>
          <w:rFonts w:ascii="Times New Roman" w:hAnsi="Times New Roman" w:cs="Times New Roman"/>
          <w:b/>
          <w:bCs/>
          <w:sz w:val="44"/>
          <w:szCs w:val="44"/>
        </w:rPr>
      </w:pPr>
    </w:p>
    <w:p w14:paraId="5820E9CA" w14:textId="3557E9A1" w:rsidR="00A12528" w:rsidRDefault="00A12528" w:rsidP="00A12528">
      <w:pPr>
        <w:jc w:val="center"/>
        <w:rPr>
          <w:rFonts w:ascii="Times New Roman" w:hAnsi="Times New Roman" w:cs="Times New Roman"/>
          <w:b/>
          <w:bCs/>
          <w:sz w:val="44"/>
          <w:szCs w:val="44"/>
        </w:rPr>
      </w:pPr>
      <w:r w:rsidRPr="00A12528">
        <w:rPr>
          <w:rFonts w:ascii="Times New Roman" w:hAnsi="Times New Roman" w:cs="Times New Roman"/>
          <w:b/>
          <w:bCs/>
          <w:sz w:val="44"/>
          <w:szCs w:val="44"/>
        </w:rPr>
        <w:t>“Decoding ESG: Measuring Clarity and Greenwashing in Corporate Disclosures”</w:t>
      </w:r>
    </w:p>
    <w:p w14:paraId="6C219813" w14:textId="77777777" w:rsidR="00A12528" w:rsidRDefault="00A12528" w:rsidP="00A12528">
      <w:pPr>
        <w:jc w:val="center"/>
        <w:rPr>
          <w:rFonts w:ascii="Times New Roman" w:hAnsi="Times New Roman" w:cs="Times New Roman"/>
          <w:b/>
          <w:bCs/>
          <w:sz w:val="44"/>
          <w:szCs w:val="44"/>
        </w:rPr>
      </w:pPr>
    </w:p>
    <w:p w14:paraId="33A6BD29" w14:textId="242995FB" w:rsidR="00A12528" w:rsidRDefault="00A12528" w:rsidP="00A12528">
      <w:pPr>
        <w:jc w:val="center"/>
        <w:rPr>
          <w:rFonts w:ascii="Times New Roman" w:hAnsi="Times New Roman" w:cs="Times New Roman"/>
          <w:b/>
          <w:bCs/>
          <w:sz w:val="44"/>
          <w:szCs w:val="44"/>
        </w:rPr>
      </w:pPr>
    </w:p>
    <w:p w14:paraId="78152C96" w14:textId="6DD168C7" w:rsidR="00A12528" w:rsidRDefault="00A12528" w:rsidP="00A12528">
      <w:pPr>
        <w:jc w:val="center"/>
        <w:rPr>
          <w:rFonts w:ascii="Times New Roman" w:hAnsi="Times New Roman" w:cs="Times New Roman"/>
          <w:b/>
          <w:bCs/>
          <w:sz w:val="28"/>
          <w:szCs w:val="28"/>
        </w:rPr>
      </w:pPr>
      <w:r w:rsidRPr="00A12528">
        <w:rPr>
          <w:rFonts w:ascii="Times New Roman" w:hAnsi="Times New Roman" w:cs="Times New Roman"/>
          <w:b/>
          <w:bCs/>
          <w:sz w:val="28"/>
          <w:szCs w:val="28"/>
        </w:rPr>
        <w:t>Vishwas Khandelwal, Shravani Mahadeshwar, Padma Priya Botsa</w:t>
      </w:r>
    </w:p>
    <w:p w14:paraId="4F7E4778" w14:textId="77777777" w:rsidR="00A12528" w:rsidRDefault="00A12528" w:rsidP="00A12528">
      <w:pPr>
        <w:jc w:val="center"/>
        <w:rPr>
          <w:rFonts w:ascii="Times New Roman" w:hAnsi="Times New Roman" w:cs="Times New Roman"/>
          <w:b/>
          <w:bCs/>
          <w:sz w:val="28"/>
          <w:szCs w:val="28"/>
        </w:rPr>
      </w:pPr>
    </w:p>
    <w:p w14:paraId="639610B0" w14:textId="77777777" w:rsidR="00A12528" w:rsidRDefault="00A12528" w:rsidP="00A12528">
      <w:pPr>
        <w:jc w:val="center"/>
        <w:rPr>
          <w:rFonts w:ascii="Times New Roman" w:hAnsi="Times New Roman" w:cs="Times New Roman"/>
          <w:sz w:val="28"/>
          <w:szCs w:val="28"/>
        </w:rPr>
      </w:pPr>
    </w:p>
    <w:p w14:paraId="3F1B56BF" w14:textId="2827A1B9" w:rsidR="00A12528" w:rsidRDefault="00A12528" w:rsidP="00A12528">
      <w:pPr>
        <w:jc w:val="center"/>
        <w:rPr>
          <w:rFonts w:ascii="Times New Roman" w:hAnsi="Times New Roman" w:cs="Times New Roman"/>
          <w:b/>
          <w:bCs/>
          <w:sz w:val="28"/>
          <w:szCs w:val="28"/>
        </w:rPr>
      </w:pPr>
      <w:r>
        <w:rPr>
          <w:rFonts w:ascii="Times New Roman" w:hAnsi="Times New Roman" w:cs="Times New Roman"/>
          <w:sz w:val="28"/>
          <w:szCs w:val="28"/>
        </w:rPr>
        <w:t xml:space="preserve">Under the Guidance of </w:t>
      </w:r>
      <w:r w:rsidRPr="00A12528">
        <w:rPr>
          <w:rFonts w:ascii="Times New Roman" w:hAnsi="Times New Roman" w:cs="Times New Roman"/>
          <w:b/>
          <w:bCs/>
          <w:sz w:val="28"/>
          <w:szCs w:val="28"/>
        </w:rPr>
        <w:t>Prof. Dr. Lucas Böttcher</w:t>
      </w:r>
    </w:p>
    <w:p w14:paraId="30AAFFC6" w14:textId="77777777" w:rsidR="00BD3CC1" w:rsidRDefault="00BD3CC1" w:rsidP="00A12528">
      <w:pPr>
        <w:jc w:val="center"/>
        <w:rPr>
          <w:rFonts w:ascii="Times New Roman" w:hAnsi="Times New Roman" w:cs="Times New Roman"/>
          <w:b/>
          <w:bCs/>
          <w:sz w:val="28"/>
          <w:szCs w:val="28"/>
        </w:rPr>
      </w:pPr>
    </w:p>
    <w:p w14:paraId="7AA9FB3C" w14:textId="696ACE3B" w:rsidR="00BD3CC1" w:rsidRDefault="00BD3CC1" w:rsidP="00A12528">
      <w:pPr>
        <w:jc w:val="center"/>
        <w:rPr>
          <w:rFonts w:ascii="Times New Roman" w:hAnsi="Times New Roman" w:cs="Times New Roman"/>
          <w:b/>
          <w:bCs/>
          <w:sz w:val="28"/>
          <w:szCs w:val="28"/>
        </w:rPr>
      </w:pPr>
      <w:r>
        <w:rPr>
          <w:rFonts w:ascii="Times New Roman" w:hAnsi="Times New Roman" w:cs="Times New Roman"/>
          <w:b/>
          <w:bCs/>
          <w:sz w:val="28"/>
          <w:szCs w:val="28"/>
        </w:rPr>
        <w:t xml:space="preserve">Master in Applied Data Science </w:t>
      </w:r>
    </w:p>
    <w:p w14:paraId="7E6954FB" w14:textId="7DA46710" w:rsidR="00BD3CC1" w:rsidRDefault="00BD3CC1" w:rsidP="00A12528">
      <w:pPr>
        <w:jc w:val="center"/>
        <w:rPr>
          <w:rFonts w:ascii="Times New Roman" w:hAnsi="Times New Roman" w:cs="Times New Roman"/>
          <w:b/>
          <w:bCs/>
          <w:sz w:val="28"/>
          <w:szCs w:val="28"/>
        </w:rPr>
      </w:pPr>
      <w:r>
        <w:rPr>
          <w:rFonts w:ascii="Times New Roman" w:hAnsi="Times New Roman" w:cs="Times New Roman"/>
          <w:b/>
          <w:bCs/>
          <w:sz w:val="28"/>
          <w:szCs w:val="28"/>
        </w:rPr>
        <w:t>Batch 2025</w:t>
      </w:r>
    </w:p>
    <w:p w14:paraId="39FAF57E" w14:textId="77777777" w:rsidR="00A12528" w:rsidRDefault="00A12528" w:rsidP="00A12528">
      <w:pPr>
        <w:jc w:val="center"/>
        <w:rPr>
          <w:rFonts w:ascii="Times New Roman" w:hAnsi="Times New Roman" w:cs="Times New Roman"/>
          <w:b/>
          <w:bCs/>
          <w:sz w:val="28"/>
          <w:szCs w:val="28"/>
        </w:rPr>
      </w:pPr>
    </w:p>
    <w:p w14:paraId="286F95B5" w14:textId="77777777" w:rsidR="00A12528" w:rsidRDefault="00A12528" w:rsidP="00A12528">
      <w:pPr>
        <w:jc w:val="center"/>
        <w:rPr>
          <w:rFonts w:ascii="Times New Roman" w:hAnsi="Times New Roman" w:cs="Times New Roman"/>
          <w:b/>
          <w:bCs/>
          <w:sz w:val="28"/>
          <w:szCs w:val="28"/>
        </w:rPr>
      </w:pPr>
    </w:p>
    <w:p w14:paraId="30760AD6" w14:textId="77777777" w:rsidR="00A12528" w:rsidRDefault="00A12528" w:rsidP="00A12528">
      <w:pPr>
        <w:jc w:val="center"/>
        <w:rPr>
          <w:rFonts w:ascii="Times New Roman" w:hAnsi="Times New Roman" w:cs="Times New Roman"/>
          <w:b/>
          <w:bCs/>
          <w:sz w:val="28"/>
          <w:szCs w:val="28"/>
        </w:rPr>
      </w:pPr>
    </w:p>
    <w:p w14:paraId="4AA61E7C" w14:textId="77777777" w:rsidR="00A12528" w:rsidRDefault="00A12528" w:rsidP="00A12528">
      <w:pPr>
        <w:jc w:val="center"/>
        <w:rPr>
          <w:rFonts w:ascii="Times New Roman" w:hAnsi="Times New Roman" w:cs="Times New Roman"/>
          <w:b/>
          <w:bCs/>
          <w:sz w:val="28"/>
          <w:szCs w:val="28"/>
        </w:rPr>
      </w:pPr>
    </w:p>
    <w:p w14:paraId="44B19530" w14:textId="3B8A7B39" w:rsidR="00A12528" w:rsidRDefault="00A12528" w:rsidP="00A12528">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0FEB3700" w14:textId="2C46B22F" w:rsidR="00A12528" w:rsidRDefault="00A12528" w:rsidP="00A12528">
      <w:pPr>
        <w:jc w:val="center"/>
        <w:rPr>
          <w:rFonts w:ascii="Times New Roman" w:hAnsi="Times New Roman" w:cs="Times New Roman"/>
          <w:b/>
          <w:bCs/>
          <w:sz w:val="28"/>
          <w:szCs w:val="28"/>
        </w:rPr>
      </w:pPr>
      <w:r>
        <w:rPr>
          <w:rFonts w:ascii="Times New Roman" w:hAnsi="Times New Roman" w:cs="Times New Roman"/>
          <w:b/>
          <w:bCs/>
          <w:sz w:val="28"/>
          <w:szCs w:val="28"/>
        </w:rPr>
        <w:t>Frankfurt School Of Finance and Management</w:t>
      </w:r>
    </w:p>
    <w:p w14:paraId="2914B641" w14:textId="77777777" w:rsidR="00A12528" w:rsidRDefault="00A12528" w:rsidP="00A12528">
      <w:pPr>
        <w:jc w:val="center"/>
        <w:rPr>
          <w:rFonts w:ascii="Times New Roman" w:hAnsi="Times New Roman" w:cs="Times New Roman"/>
          <w:b/>
          <w:bCs/>
          <w:sz w:val="28"/>
          <w:szCs w:val="28"/>
        </w:rPr>
      </w:pPr>
    </w:p>
    <w:p w14:paraId="1E3C2468" w14:textId="77777777" w:rsidR="00A12528" w:rsidRDefault="00A12528" w:rsidP="00A12528">
      <w:pPr>
        <w:jc w:val="center"/>
        <w:rPr>
          <w:rFonts w:ascii="Times New Roman" w:hAnsi="Times New Roman" w:cs="Times New Roman"/>
          <w:b/>
          <w:bCs/>
          <w:sz w:val="28"/>
          <w:szCs w:val="28"/>
        </w:rPr>
      </w:pPr>
    </w:p>
    <w:p w14:paraId="29FC1C40" w14:textId="77777777" w:rsidR="00A12528" w:rsidRDefault="00A12528" w:rsidP="00A12528">
      <w:pPr>
        <w:jc w:val="center"/>
        <w:rPr>
          <w:rFonts w:ascii="Times New Roman" w:hAnsi="Times New Roman" w:cs="Times New Roman"/>
          <w:b/>
          <w:bCs/>
          <w:sz w:val="28"/>
          <w:szCs w:val="28"/>
        </w:rPr>
      </w:pPr>
    </w:p>
    <w:p w14:paraId="3F3CF3D3" w14:textId="77777777" w:rsidR="00A12528" w:rsidRDefault="00A12528" w:rsidP="00A12528">
      <w:pPr>
        <w:jc w:val="center"/>
        <w:rPr>
          <w:rFonts w:ascii="Times New Roman" w:hAnsi="Times New Roman" w:cs="Times New Roman"/>
          <w:b/>
          <w:bCs/>
          <w:sz w:val="28"/>
          <w:szCs w:val="28"/>
        </w:rPr>
      </w:pPr>
    </w:p>
    <w:p w14:paraId="08954839" w14:textId="77777777" w:rsidR="00A12528" w:rsidRDefault="00A12528" w:rsidP="00A12528">
      <w:pPr>
        <w:jc w:val="center"/>
        <w:rPr>
          <w:rFonts w:ascii="Times New Roman" w:hAnsi="Times New Roman" w:cs="Times New Roman"/>
          <w:b/>
          <w:bCs/>
          <w:sz w:val="28"/>
          <w:szCs w:val="28"/>
        </w:rPr>
      </w:pPr>
    </w:p>
    <w:p w14:paraId="2668E01A" w14:textId="05B08F03" w:rsidR="004235B9" w:rsidRPr="00BD3CC1" w:rsidRDefault="00BD3CC1" w:rsidP="00BD3CC1">
      <w:pPr>
        <w:rPr>
          <w:rFonts w:ascii="Times New Roman" w:hAnsi="Times New Roman" w:cs="Times New Roman"/>
          <w:b/>
          <w:bCs/>
          <w:sz w:val="32"/>
          <w:szCs w:val="32"/>
        </w:rPr>
      </w:pPr>
      <w:r w:rsidRPr="00BD3CC1">
        <w:rPr>
          <w:rFonts w:ascii="Times New Roman" w:hAnsi="Times New Roman" w:cs="Times New Roman"/>
          <w:b/>
          <w:bCs/>
          <w:sz w:val="32"/>
          <w:szCs w:val="32"/>
        </w:rPr>
        <w:t>Background</w:t>
      </w:r>
    </w:p>
    <w:p w14:paraId="2A6A3593" w14:textId="2116C51A"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Environmental, Social, and Governance (ESG) reporting has become a cornerstone of corporate communication and disclosure practices. Large corporations now routinely include ESG-related sections in their annual filings, highlighting sustainability, diversity, ethics, and accountability initiatives. However, while ESG </w:t>
      </w:r>
      <w:r w:rsidRPr="00BD3CC1">
        <w:rPr>
          <w:rFonts w:ascii="Times New Roman" w:hAnsi="Times New Roman" w:cs="Times New Roman"/>
          <w:i/>
          <w:iCs/>
          <w:sz w:val="28"/>
          <w:szCs w:val="28"/>
        </w:rPr>
        <w:t>scores</w:t>
      </w:r>
      <w:r w:rsidRPr="00BD3CC1">
        <w:rPr>
          <w:rFonts w:ascii="Times New Roman" w:hAnsi="Times New Roman" w:cs="Times New Roman"/>
          <w:sz w:val="28"/>
          <w:szCs w:val="28"/>
        </w:rPr>
        <w:t xml:space="preserve"> and </w:t>
      </w:r>
      <w:r w:rsidRPr="00BD3CC1">
        <w:rPr>
          <w:rFonts w:ascii="Times New Roman" w:hAnsi="Times New Roman" w:cs="Times New Roman"/>
          <w:i/>
          <w:iCs/>
          <w:sz w:val="28"/>
          <w:szCs w:val="28"/>
        </w:rPr>
        <w:t>performance data</w:t>
      </w:r>
      <w:r w:rsidRPr="00BD3CC1">
        <w:rPr>
          <w:rFonts w:ascii="Times New Roman" w:hAnsi="Times New Roman" w:cs="Times New Roman"/>
          <w:sz w:val="28"/>
          <w:szCs w:val="28"/>
        </w:rPr>
        <w:t xml:space="preserve"> are widely studied, the linguistic quality and credibility of these disclosures remain largely unexplored. Most ESG research evaluates </w:t>
      </w:r>
      <w:r w:rsidRPr="00BD3CC1">
        <w:rPr>
          <w:rFonts w:ascii="Times New Roman" w:hAnsi="Times New Roman" w:cs="Times New Roman"/>
          <w:i/>
          <w:iCs/>
          <w:sz w:val="28"/>
          <w:szCs w:val="28"/>
        </w:rPr>
        <w:t>what</w:t>
      </w:r>
      <w:r w:rsidRPr="00BD3CC1">
        <w:rPr>
          <w:rFonts w:ascii="Times New Roman" w:hAnsi="Times New Roman" w:cs="Times New Roman"/>
          <w:sz w:val="28"/>
          <w:szCs w:val="28"/>
        </w:rPr>
        <w:t xml:space="preserve"> is reported </w:t>
      </w:r>
      <w:r>
        <w:rPr>
          <w:rFonts w:ascii="Times New Roman" w:hAnsi="Times New Roman" w:cs="Times New Roman"/>
          <w:sz w:val="28"/>
          <w:szCs w:val="28"/>
        </w:rPr>
        <w:t xml:space="preserve">- </w:t>
      </w:r>
      <w:r w:rsidRPr="00BD3CC1">
        <w:rPr>
          <w:rFonts w:ascii="Times New Roman" w:hAnsi="Times New Roman" w:cs="Times New Roman"/>
          <w:sz w:val="28"/>
          <w:szCs w:val="28"/>
        </w:rPr>
        <w:t xml:space="preserve">metrics, emissions, or governance structures </w:t>
      </w:r>
      <w:r>
        <w:rPr>
          <w:rFonts w:ascii="Times New Roman" w:hAnsi="Times New Roman" w:cs="Times New Roman"/>
          <w:sz w:val="28"/>
          <w:szCs w:val="28"/>
        </w:rPr>
        <w:t xml:space="preserve">- </w:t>
      </w:r>
      <w:r w:rsidRPr="00BD3CC1">
        <w:rPr>
          <w:rFonts w:ascii="Times New Roman" w:hAnsi="Times New Roman" w:cs="Times New Roman"/>
          <w:sz w:val="28"/>
          <w:szCs w:val="28"/>
        </w:rPr>
        <w:t xml:space="preserve">but not </w:t>
      </w:r>
      <w:r w:rsidRPr="00BD3CC1">
        <w:rPr>
          <w:rFonts w:ascii="Times New Roman" w:hAnsi="Times New Roman" w:cs="Times New Roman"/>
          <w:i/>
          <w:iCs/>
          <w:sz w:val="28"/>
          <w:szCs w:val="28"/>
        </w:rPr>
        <w:t>how</w:t>
      </w:r>
      <w:r w:rsidRPr="00BD3CC1">
        <w:rPr>
          <w:rFonts w:ascii="Times New Roman" w:hAnsi="Times New Roman" w:cs="Times New Roman"/>
          <w:sz w:val="28"/>
          <w:szCs w:val="28"/>
        </w:rPr>
        <w:t xml:space="preserve"> this information is communicated within formal, regulated reports.</w:t>
      </w:r>
    </w:p>
    <w:p w14:paraId="47960FCF" w14:textId="3AA4D76D" w:rsid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To bridge this gap, our study adopts a language-based analytical perspective using Natural Language Processing (NLP) and probabilistic topic modeling. We analyze SEC 10-K filings from S&amp;P 50 companies between 2015 and 2025, providing a decade-long view of corporate ESG communication in official, audited filings. Since these reports are legally binding and standardized, they provide an ideal foundation for measuring linguistic consistency and transparency in ESG reporting.</w:t>
      </w:r>
    </w:p>
    <w:p w14:paraId="5BDB9C6B" w14:textId="0D86B3AD" w:rsidR="00BD3CC1" w:rsidRDefault="00BD3CC1" w:rsidP="00BD3CC1">
      <w:pPr>
        <w:rPr>
          <w:rFonts w:ascii="Times New Roman" w:hAnsi="Times New Roman" w:cs="Times New Roman"/>
          <w:sz w:val="28"/>
          <w:szCs w:val="28"/>
        </w:rPr>
      </w:pPr>
    </w:p>
    <w:p w14:paraId="57C99724" w14:textId="4884B3E0" w:rsidR="00BD3CC1" w:rsidRPr="00BD3CC1" w:rsidRDefault="00BD3CC1" w:rsidP="00BD3CC1">
      <w:pPr>
        <w:rPr>
          <w:rFonts w:ascii="Times New Roman" w:hAnsi="Times New Roman" w:cs="Times New Roman"/>
          <w:b/>
          <w:bCs/>
          <w:sz w:val="32"/>
          <w:szCs w:val="32"/>
        </w:rPr>
      </w:pPr>
      <w:r w:rsidRPr="00BD3CC1">
        <w:rPr>
          <w:rFonts w:ascii="Times New Roman" w:hAnsi="Times New Roman" w:cs="Times New Roman"/>
          <w:b/>
          <w:bCs/>
          <w:sz w:val="32"/>
          <w:szCs w:val="32"/>
        </w:rPr>
        <w:t>Objective and Framework</w:t>
      </w:r>
    </w:p>
    <w:p w14:paraId="6BB81FE9" w14:textId="4B6C8D62"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This study aims to:</w:t>
      </w:r>
    </w:p>
    <w:p w14:paraId="11AD13B3" w14:textId="2DC2647E" w:rsidR="00BD3CC1" w:rsidRPr="00BD3CC1" w:rsidRDefault="00BD3CC1" w:rsidP="00BD3CC1">
      <w:pPr>
        <w:numPr>
          <w:ilvl w:val="0"/>
          <w:numId w:val="1"/>
        </w:numPr>
        <w:rPr>
          <w:rFonts w:ascii="Times New Roman" w:hAnsi="Times New Roman" w:cs="Times New Roman"/>
          <w:sz w:val="28"/>
          <w:szCs w:val="28"/>
        </w:rPr>
      </w:pPr>
      <w:r w:rsidRPr="00BD3CC1">
        <w:rPr>
          <w:rFonts w:ascii="Times New Roman" w:hAnsi="Times New Roman" w:cs="Times New Roman"/>
          <w:sz w:val="28"/>
          <w:szCs w:val="28"/>
        </w:rPr>
        <w:t xml:space="preserve">Identify and categorize dominant ESG themes in corporate filings using </w:t>
      </w:r>
      <w:r w:rsidRPr="00BD3CC1">
        <w:rPr>
          <w:rFonts w:ascii="Times New Roman" w:hAnsi="Times New Roman" w:cs="Times New Roman"/>
          <w:b/>
          <w:bCs/>
          <w:sz w:val="28"/>
          <w:szCs w:val="28"/>
        </w:rPr>
        <w:t>Guided Latent Dirichlet Allocation (LDA)</w:t>
      </w:r>
      <w:r w:rsidRPr="00BD3CC1">
        <w:rPr>
          <w:rFonts w:ascii="Times New Roman" w:hAnsi="Times New Roman" w:cs="Times New Roman"/>
          <w:sz w:val="28"/>
          <w:szCs w:val="28"/>
        </w:rPr>
        <w:t>.</w:t>
      </w:r>
    </w:p>
    <w:p w14:paraId="37D97CCA" w14:textId="619BD0C1" w:rsidR="00BD3CC1" w:rsidRPr="00BD3CC1" w:rsidRDefault="00BD3CC1" w:rsidP="00BD3CC1">
      <w:pPr>
        <w:numPr>
          <w:ilvl w:val="0"/>
          <w:numId w:val="1"/>
        </w:numPr>
        <w:rPr>
          <w:rFonts w:ascii="Times New Roman" w:hAnsi="Times New Roman" w:cs="Times New Roman"/>
          <w:sz w:val="28"/>
          <w:szCs w:val="28"/>
        </w:rPr>
      </w:pPr>
      <w:r w:rsidRPr="00BD3CC1">
        <w:rPr>
          <w:rFonts w:ascii="Times New Roman" w:hAnsi="Times New Roman" w:cs="Times New Roman"/>
          <w:sz w:val="28"/>
          <w:szCs w:val="28"/>
        </w:rPr>
        <w:t xml:space="preserve">Quantify the linguistic </w:t>
      </w:r>
      <w:r w:rsidRPr="00BD3CC1">
        <w:rPr>
          <w:rFonts w:ascii="Times New Roman" w:hAnsi="Times New Roman" w:cs="Times New Roman"/>
          <w:b/>
          <w:bCs/>
          <w:sz w:val="28"/>
          <w:szCs w:val="28"/>
        </w:rPr>
        <w:t>clarity and factuality</w:t>
      </w:r>
      <w:r w:rsidRPr="00BD3CC1">
        <w:rPr>
          <w:rFonts w:ascii="Times New Roman" w:hAnsi="Times New Roman" w:cs="Times New Roman"/>
          <w:sz w:val="28"/>
          <w:szCs w:val="28"/>
        </w:rPr>
        <w:t xml:space="preserve"> of ESG communication using a </w:t>
      </w:r>
      <w:r w:rsidRPr="00BD3CC1">
        <w:rPr>
          <w:rFonts w:ascii="Times New Roman" w:hAnsi="Times New Roman" w:cs="Times New Roman"/>
          <w:b/>
          <w:bCs/>
          <w:sz w:val="28"/>
          <w:szCs w:val="28"/>
        </w:rPr>
        <w:t>Concreteness Score</w:t>
      </w:r>
      <w:r w:rsidRPr="00BD3CC1">
        <w:rPr>
          <w:rFonts w:ascii="Times New Roman" w:hAnsi="Times New Roman" w:cs="Times New Roman"/>
          <w:sz w:val="28"/>
          <w:szCs w:val="28"/>
        </w:rPr>
        <w:t>.</w:t>
      </w:r>
    </w:p>
    <w:p w14:paraId="2D952527" w14:textId="14C70699" w:rsidR="00BD3CC1" w:rsidRPr="00BD3CC1" w:rsidRDefault="00BD3CC1" w:rsidP="00BD3CC1">
      <w:pPr>
        <w:numPr>
          <w:ilvl w:val="0"/>
          <w:numId w:val="1"/>
        </w:numPr>
        <w:rPr>
          <w:rFonts w:ascii="Times New Roman" w:hAnsi="Times New Roman" w:cs="Times New Roman"/>
          <w:sz w:val="28"/>
          <w:szCs w:val="28"/>
        </w:rPr>
      </w:pPr>
      <w:r w:rsidRPr="00BD3CC1">
        <w:rPr>
          <w:rFonts w:ascii="Times New Roman" w:hAnsi="Times New Roman" w:cs="Times New Roman"/>
          <w:sz w:val="28"/>
          <w:szCs w:val="28"/>
        </w:rPr>
        <w:t xml:space="preserve">Measure the </w:t>
      </w:r>
      <w:r w:rsidRPr="00BD3CC1">
        <w:rPr>
          <w:rFonts w:ascii="Times New Roman" w:hAnsi="Times New Roman" w:cs="Times New Roman"/>
          <w:b/>
          <w:bCs/>
          <w:sz w:val="28"/>
          <w:szCs w:val="28"/>
        </w:rPr>
        <w:t>balance between ESG emphasis and clarity</w:t>
      </w:r>
      <w:r w:rsidRPr="00BD3CC1">
        <w:rPr>
          <w:rFonts w:ascii="Times New Roman" w:hAnsi="Times New Roman" w:cs="Times New Roman"/>
          <w:sz w:val="28"/>
          <w:szCs w:val="28"/>
        </w:rPr>
        <w:t xml:space="preserve"> using a custom metric</w:t>
      </w:r>
      <w:r>
        <w:rPr>
          <w:rFonts w:ascii="Times New Roman" w:hAnsi="Times New Roman" w:cs="Times New Roman"/>
          <w:sz w:val="28"/>
          <w:szCs w:val="28"/>
        </w:rPr>
        <w:t xml:space="preserve"> -</w:t>
      </w:r>
      <w:r w:rsidRPr="00BD3CC1">
        <w:rPr>
          <w:rFonts w:ascii="Times New Roman" w:hAnsi="Times New Roman" w:cs="Times New Roman"/>
          <w:sz w:val="28"/>
          <w:szCs w:val="28"/>
        </w:rPr>
        <w:t xml:space="preserve"> the </w:t>
      </w:r>
      <w:r w:rsidRPr="00BD3CC1">
        <w:rPr>
          <w:rFonts w:ascii="Times New Roman" w:hAnsi="Times New Roman" w:cs="Times New Roman"/>
          <w:b/>
          <w:bCs/>
          <w:sz w:val="28"/>
          <w:szCs w:val="28"/>
        </w:rPr>
        <w:t>Greenwashing Risk Index (GRI)</w:t>
      </w:r>
      <w:r w:rsidRPr="00BD3CC1">
        <w:rPr>
          <w:rFonts w:ascii="Times New Roman" w:hAnsi="Times New Roman" w:cs="Times New Roman"/>
          <w:sz w:val="28"/>
          <w:szCs w:val="28"/>
        </w:rPr>
        <w:t>.</w:t>
      </w:r>
    </w:p>
    <w:p w14:paraId="743FA1D5" w14:textId="77777777" w:rsidR="00BD3CC1" w:rsidRDefault="00BD3CC1" w:rsidP="00BD3CC1">
      <w:pPr>
        <w:rPr>
          <w:rFonts w:ascii="Times New Roman" w:hAnsi="Times New Roman" w:cs="Times New Roman"/>
          <w:sz w:val="28"/>
          <w:szCs w:val="28"/>
        </w:rPr>
      </w:pPr>
    </w:p>
    <w:p w14:paraId="4DBF25DB" w14:textId="3EB30124"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lastRenderedPageBreak/>
        <w:t xml:space="preserve">Our integrated pipeline combines </w:t>
      </w:r>
      <w:r w:rsidRPr="00BD3CC1">
        <w:rPr>
          <w:rFonts w:ascii="Times New Roman" w:hAnsi="Times New Roman" w:cs="Times New Roman"/>
          <w:b/>
          <w:bCs/>
          <w:sz w:val="28"/>
          <w:szCs w:val="28"/>
        </w:rPr>
        <w:t>topic modeling</w:t>
      </w:r>
      <w:r w:rsidRPr="00BD3CC1">
        <w:rPr>
          <w:rFonts w:ascii="Times New Roman" w:hAnsi="Times New Roman" w:cs="Times New Roman"/>
          <w:sz w:val="28"/>
          <w:szCs w:val="28"/>
        </w:rPr>
        <w:t xml:space="preserve"> to uncover “what companies talk about” and </w:t>
      </w:r>
      <w:r w:rsidRPr="00BD3CC1">
        <w:rPr>
          <w:rFonts w:ascii="Times New Roman" w:hAnsi="Times New Roman" w:cs="Times New Roman"/>
          <w:b/>
          <w:bCs/>
          <w:sz w:val="28"/>
          <w:szCs w:val="28"/>
        </w:rPr>
        <w:t>linguistic scoring</w:t>
      </w:r>
      <w:r w:rsidRPr="00BD3CC1">
        <w:rPr>
          <w:rFonts w:ascii="Times New Roman" w:hAnsi="Times New Roman" w:cs="Times New Roman"/>
          <w:sz w:val="28"/>
          <w:szCs w:val="28"/>
        </w:rPr>
        <w:t xml:space="preserve"> to assess “how clearly they communicate it.” This dual approach provides an empirical framework for assessing the </w:t>
      </w:r>
      <w:r w:rsidRPr="00BD3CC1">
        <w:rPr>
          <w:rFonts w:ascii="Times New Roman" w:hAnsi="Times New Roman" w:cs="Times New Roman"/>
          <w:b/>
          <w:bCs/>
          <w:sz w:val="28"/>
          <w:szCs w:val="28"/>
        </w:rPr>
        <w:t>credibility and maturity</w:t>
      </w:r>
      <w:r w:rsidRPr="00BD3CC1">
        <w:rPr>
          <w:rFonts w:ascii="Times New Roman" w:hAnsi="Times New Roman" w:cs="Times New Roman"/>
          <w:sz w:val="28"/>
          <w:szCs w:val="28"/>
        </w:rPr>
        <w:t xml:space="preserve"> of ESG discourse in corporate reporting.</w:t>
      </w:r>
    </w:p>
    <w:p w14:paraId="63EE2C3C" w14:textId="06D4D8F3" w:rsidR="00BD3CC1" w:rsidRPr="00BD3CC1" w:rsidRDefault="00BD3CC1" w:rsidP="00BD3CC1">
      <w:pPr>
        <w:rPr>
          <w:rFonts w:ascii="Times New Roman" w:hAnsi="Times New Roman" w:cs="Times New Roman"/>
          <w:sz w:val="28"/>
          <w:szCs w:val="28"/>
        </w:rPr>
      </w:pPr>
    </w:p>
    <w:p w14:paraId="4559DF5E" w14:textId="77777777" w:rsidR="00A12528" w:rsidRDefault="00A12528" w:rsidP="00A12528">
      <w:pPr>
        <w:rPr>
          <w:rFonts w:ascii="Times New Roman" w:hAnsi="Times New Roman" w:cs="Times New Roman"/>
          <w:b/>
          <w:bCs/>
          <w:sz w:val="28"/>
          <w:szCs w:val="28"/>
        </w:rPr>
      </w:pPr>
    </w:p>
    <w:p w14:paraId="1EFC845D" w14:textId="26F50863" w:rsidR="00A12528" w:rsidRDefault="00BD3CC1" w:rsidP="00A12528">
      <w:pPr>
        <w:jc w:val="cente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549534EF" wp14:editId="28015CD8">
            <wp:simplePos x="0" y="0"/>
            <wp:positionH relativeFrom="page">
              <wp:align>right</wp:align>
            </wp:positionH>
            <wp:positionV relativeFrom="paragraph">
              <wp:posOffset>436072</wp:posOffset>
            </wp:positionV>
            <wp:extent cx="7557770" cy="2061514"/>
            <wp:effectExtent l="0" t="0" r="5080" b="0"/>
            <wp:wrapNone/>
            <wp:docPr id="1833329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29007" name="Picture 1833329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770" cy="2061514"/>
                    </a:xfrm>
                    <a:prstGeom prst="rect">
                      <a:avLst/>
                    </a:prstGeom>
                  </pic:spPr>
                </pic:pic>
              </a:graphicData>
            </a:graphic>
            <wp14:sizeRelH relativeFrom="margin">
              <wp14:pctWidth>0</wp14:pctWidth>
            </wp14:sizeRelH>
            <wp14:sizeRelV relativeFrom="margin">
              <wp14:pctHeight>0</wp14:pctHeight>
            </wp14:sizeRelV>
          </wp:anchor>
        </w:drawing>
      </w:r>
    </w:p>
    <w:p w14:paraId="28DE1249" w14:textId="2C612C80" w:rsidR="00A12528" w:rsidRDefault="00A12528" w:rsidP="00A12528">
      <w:pPr>
        <w:jc w:val="center"/>
        <w:rPr>
          <w:rFonts w:ascii="Times New Roman" w:hAnsi="Times New Roman" w:cs="Times New Roman"/>
          <w:b/>
          <w:bCs/>
          <w:sz w:val="28"/>
          <w:szCs w:val="28"/>
        </w:rPr>
      </w:pPr>
    </w:p>
    <w:p w14:paraId="6F64817E" w14:textId="047DA65B" w:rsidR="00A12528" w:rsidRDefault="00A12528" w:rsidP="00A12528">
      <w:pPr>
        <w:jc w:val="center"/>
        <w:rPr>
          <w:rFonts w:ascii="Times New Roman" w:hAnsi="Times New Roman" w:cs="Times New Roman"/>
          <w:b/>
          <w:bCs/>
          <w:sz w:val="28"/>
          <w:szCs w:val="28"/>
        </w:rPr>
      </w:pPr>
    </w:p>
    <w:p w14:paraId="16CF6B8A" w14:textId="0C4EFAC1" w:rsidR="00A12528" w:rsidRDefault="00A12528" w:rsidP="00A12528">
      <w:pPr>
        <w:jc w:val="center"/>
        <w:rPr>
          <w:rFonts w:ascii="Times New Roman" w:hAnsi="Times New Roman" w:cs="Times New Roman"/>
          <w:b/>
          <w:bCs/>
          <w:sz w:val="28"/>
          <w:szCs w:val="28"/>
        </w:rPr>
      </w:pPr>
    </w:p>
    <w:p w14:paraId="4BDD62D3" w14:textId="77777777" w:rsidR="00A12528" w:rsidRDefault="00A12528" w:rsidP="00A12528">
      <w:pPr>
        <w:jc w:val="center"/>
        <w:rPr>
          <w:rFonts w:ascii="Times New Roman" w:hAnsi="Times New Roman" w:cs="Times New Roman"/>
          <w:b/>
          <w:bCs/>
          <w:sz w:val="28"/>
          <w:szCs w:val="28"/>
        </w:rPr>
      </w:pPr>
    </w:p>
    <w:p w14:paraId="34D2F6FB" w14:textId="77777777" w:rsidR="00A12528" w:rsidRDefault="00A12528" w:rsidP="00A12528">
      <w:pPr>
        <w:jc w:val="center"/>
        <w:rPr>
          <w:rFonts w:ascii="Times New Roman" w:hAnsi="Times New Roman" w:cs="Times New Roman"/>
          <w:b/>
          <w:bCs/>
          <w:sz w:val="28"/>
          <w:szCs w:val="28"/>
        </w:rPr>
      </w:pPr>
    </w:p>
    <w:p w14:paraId="3B1AB233" w14:textId="77777777" w:rsidR="00A12528" w:rsidRDefault="00A12528" w:rsidP="00A12528">
      <w:pPr>
        <w:jc w:val="center"/>
        <w:rPr>
          <w:rFonts w:ascii="Times New Roman" w:hAnsi="Times New Roman" w:cs="Times New Roman"/>
          <w:b/>
          <w:bCs/>
          <w:sz w:val="28"/>
          <w:szCs w:val="28"/>
        </w:rPr>
      </w:pPr>
    </w:p>
    <w:p w14:paraId="67DFACF9" w14:textId="77777777" w:rsidR="00A12528" w:rsidRDefault="00A12528" w:rsidP="00A12528">
      <w:pPr>
        <w:jc w:val="center"/>
        <w:rPr>
          <w:rFonts w:ascii="Times New Roman" w:hAnsi="Times New Roman" w:cs="Times New Roman"/>
          <w:b/>
          <w:bCs/>
          <w:sz w:val="28"/>
          <w:szCs w:val="28"/>
        </w:rPr>
      </w:pPr>
    </w:p>
    <w:p w14:paraId="76BF59E5" w14:textId="77777777" w:rsidR="00A12528" w:rsidRDefault="00A12528" w:rsidP="00A12528">
      <w:pPr>
        <w:jc w:val="center"/>
        <w:rPr>
          <w:rFonts w:ascii="Times New Roman" w:hAnsi="Times New Roman" w:cs="Times New Roman"/>
          <w:b/>
          <w:bCs/>
          <w:sz w:val="28"/>
          <w:szCs w:val="28"/>
        </w:rPr>
      </w:pPr>
    </w:p>
    <w:p w14:paraId="670B1C0B" w14:textId="77777777" w:rsidR="00A12528" w:rsidRDefault="00A12528" w:rsidP="00A12528">
      <w:pPr>
        <w:jc w:val="center"/>
        <w:rPr>
          <w:rFonts w:ascii="Times New Roman" w:hAnsi="Times New Roman" w:cs="Times New Roman"/>
          <w:b/>
          <w:bCs/>
          <w:sz w:val="28"/>
          <w:szCs w:val="28"/>
        </w:rPr>
      </w:pPr>
    </w:p>
    <w:p w14:paraId="58E13E97" w14:textId="77777777" w:rsidR="00BD3CC1" w:rsidRPr="00374C42" w:rsidRDefault="00BD3CC1" w:rsidP="00BD3CC1">
      <w:pPr>
        <w:rPr>
          <w:rFonts w:ascii="Times New Roman" w:hAnsi="Times New Roman" w:cs="Times New Roman"/>
          <w:b/>
          <w:bCs/>
          <w:sz w:val="32"/>
          <w:szCs w:val="32"/>
        </w:rPr>
      </w:pPr>
      <w:r w:rsidRPr="00BD3CC1">
        <w:rPr>
          <w:rFonts w:ascii="Times New Roman" w:hAnsi="Times New Roman" w:cs="Times New Roman"/>
          <w:b/>
          <w:bCs/>
          <w:sz w:val="32"/>
          <w:szCs w:val="32"/>
        </w:rPr>
        <w:t>Mathematical Framework</w:t>
      </w:r>
    </w:p>
    <w:p w14:paraId="7F9BB93F" w14:textId="77777777" w:rsidR="00374C42" w:rsidRPr="00BD3CC1" w:rsidRDefault="00374C42" w:rsidP="00BD3CC1">
      <w:pPr>
        <w:rPr>
          <w:rFonts w:ascii="Times New Roman" w:hAnsi="Times New Roman" w:cs="Times New Roman"/>
          <w:b/>
          <w:bCs/>
          <w:sz w:val="28"/>
          <w:szCs w:val="28"/>
        </w:rPr>
      </w:pPr>
    </w:p>
    <w:p w14:paraId="542B0B55"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1. Guided Latent Dirichlet Allocation (Guided LDA)</w:t>
      </w:r>
    </w:p>
    <w:p w14:paraId="125EABFA"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We use </w:t>
      </w:r>
      <w:r w:rsidRPr="00BD3CC1">
        <w:rPr>
          <w:rFonts w:ascii="Times New Roman" w:hAnsi="Times New Roman" w:cs="Times New Roman"/>
          <w:i/>
          <w:iCs/>
          <w:sz w:val="28"/>
          <w:szCs w:val="28"/>
        </w:rPr>
        <w:t>Guided LDA</w:t>
      </w:r>
      <w:r w:rsidRPr="00BD3CC1">
        <w:rPr>
          <w:rFonts w:ascii="Times New Roman" w:hAnsi="Times New Roman" w:cs="Times New Roman"/>
          <w:sz w:val="28"/>
          <w:szCs w:val="28"/>
        </w:rPr>
        <w:t>, a probabilistic model that uncovers hidden topics in text while incorporating prior knowledge through seed words.</w:t>
      </w:r>
      <w:r w:rsidRPr="00BD3CC1">
        <w:rPr>
          <w:rFonts w:ascii="Times New Roman" w:hAnsi="Times New Roman" w:cs="Times New Roman"/>
          <w:sz w:val="28"/>
          <w:szCs w:val="28"/>
        </w:rPr>
        <w:br/>
        <w:t>It assumes that each document is a mixture of topics and each topic is a distribution over words.</w:t>
      </w:r>
    </w:p>
    <w:p w14:paraId="54F83F1B" w14:textId="6C7457BC" w:rsidR="00BD3CC1" w:rsidRPr="00BD3CC1" w:rsidRDefault="00397C89"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θ</m:t>
              </m:r>
            </m:e>
            <m:sub>
              <m:r>
                <w:rPr>
                  <w:rFonts w:ascii="Cambria Math" w:hAnsi="Cambria Math" w:cs="Times New Roman"/>
                  <w:sz w:val="28"/>
                  <w:szCs w:val="28"/>
                </w:rPr>
                <m:t>d</m:t>
              </m:r>
            </m:sub>
          </m:sSub>
          <m:r>
            <w:rPr>
              <w:rFonts w:ascii="Cambria Math" w:hAnsi="Cambria Math" w:cs="Times New Roman"/>
              <w:sz w:val="28"/>
              <w:szCs w:val="28"/>
            </w:rPr>
            <m:t>∼Dirichlet(α)</m:t>
          </m:r>
          <m:r>
            <w:rPr>
              <w:rFonts w:ascii="Times New Roman" w:hAnsi="Times New Roman" w:cs="Times New Roman"/>
              <w:sz w:val="28"/>
              <w:szCs w:val="28"/>
            </w:rPr>
            <w:br/>
          </m:r>
        </m:oMath>
      </m:oMathPara>
    </w:p>
    <w:p w14:paraId="5299CBDE" w14:textId="0ED7F136"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w:rPr>
                <w:rFonts w:ascii="Cambria Math" w:hAnsi="Cambria Math" w:cs="Times New Roman"/>
                <w:sz w:val="28"/>
                <w:szCs w:val="28"/>
              </w:rPr>
              <m:t>θ</m:t>
            </m:r>
          </m:e>
          <m:sub>
            <m:r>
              <w:rPr>
                <w:rFonts w:ascii="Cambria Math" w:hAnsi="Cambria Math" w:cs="Times New Roman"/>
                <w:sz w:val="28"/>
                <w:szCs w:val="28"/>
              </w:rPr>
              <m:t>d</m:t>
            </m:r>
          </m:sub>
        </m:sSub>
      </m:oMath>
      <w:r w:rsidRPr="00BD3CC1">
        <w:rPr>
          <w:rFonts w:ascii="Times New Roman" w:hAnsi="Times New Roman" w:cs="Times New Roman"/>
          <w:sz w:val="28"/>
          <w:szCs w:val="28"/>
        </w:rPr>
        <w:t xml:space="preserve">is the topic mixture for document </w:t>
      </w:r>
      <m:oMath>
        <m:r>
          <w:rPr>
            <w:rFonts w:ascii="Cambria Math" w:hAnsi="Cambria Math" w:cs="Times New Roman"/>
            <w:sz w:val="28"/>
            <w:szCs w:val="28"/>
          </w:rPr>
          <m:t>d</m:t>
        </m:r>
      </m:oMath>
      <w:r w:rsidRPr="00BD3CC1">
        <w:rPr>
          <w:rFonts w:ascii="Times New Roman" w:hAnsi="Times New Roman" w:cs="Times New Roman"/>
          <w:sz w:val="28"/>
          <w:szCs w:val="28"/>
        </w:rPr>
        <w:t xml:space="preserve">, and </w:t>
      </w:r>
      <m:oMath>
        <m:r>
          <w:rPr>
            <w:rFonts w:ascii="Cambria Math" w:hAnsi="Cambria Math" w:cs="Times New Roman"/>
            <w:sz w:val="28"/>
            <w:szCs w:val="28"/>
          </w:rPr>
          <m:t>α</m:t>
        </m:r>
      </m:oMath>
      <w:r w:rsidRPr="00BD3CC1">
        <w:rPr>
          <w:rFonts w:ascii="Times New Roman" w:hAnsi="Times New Roman" w:cs="Times New Roman"/>
          <w:sz w:val="28"/>
          <w:szCs w:val="28"/>
        </w:rPr>
        <w:t>controls how concentrated the topic mixture is.</w:t>
      </w:r>
    </w:p>
    <w:p w14:paraId="712EF46A"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The topic–word distribution is also drawn from a Dirichlet prior:</w:t>
      </w:r>
    </w:p>
    <w:p w14:paraId="31636E82" w14:textId="02D7A2BA" w:rsidR="00BD3CC1" w:rsidRPr="00BD3CC1" w:rsidRDefault="00397C89"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ϕ</m:t>
              </m:r>
            </m:e>
            <m:sub>
              <m:r>
                <w:rPr>
                  <w:rFonts w:ascii="Cambria Math" w:hAnsi="Cambria Math" w:cs="Times New Roman"/>
                  <w:sz w:val="28"/>
                  <w:szCs w:val="28"/>
                </w:rPr>
                <m:t>k</m:t>
              </m:r>
            </m:sub>
          </m:sSub>
          <m:r>
            <w:rPr>
              <w:rFonts w:ascii="Cambria Math" w:hAnsi="Cambria Math" w:cs="Times New Roman"/>
              <w:sz w:val="28"/>
              <w:szCs w:val="28"/>
            </w:rPr>
            <m:t>∼Dirichlet(</m:t>
          </m:r>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r>
            <w:rPr>
              <w:rFonts w:ascii="Cambria Math" w:hAnsi="Cambria Math" w:cs="Times New Roman"/>
              <w:sz w:val="28"/>
              <w:szCs w:val="28"/>
            </w:rPr>
            <m:t>)</m:t>
          </m:r>
          <m:r>
            <w:rPr>
              <w:rFonts w:ascii="Times New Roman" w:hAnsi="Times New Roman" w:cs="Times New Roman"/>
              <w:sz w:val="28"/>
              <w:szCs w:val="28"/>
            </w:rPr>
            <w:br/>
          </m:r>
        </m:oMath>
      </m:oMathPara>
    </w:p>
    <w:p w14:paraId="4E934F90" w14:textId="2217C43A"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w:rPr>
                <w:rFonts w:ascii="Cambria Math" w:hAnsi="Cambria Math" w:cs="Times New Roman"/>
                <w:sz w:val="28"/>
                <w:szCs w:val="28"/>
              </w:rPr>
              <m:t>ϕ</m:t>
            </m:r>
          </m:e>
          <m:sub>
            <m:r>
              <w:rPr>
                <w:rFonts w:ascii="Cambria Math" w:hAnsi="Cambria Math" w:cs="Times New Roman"/>
                <w:sz w:val="28"/>
                <w:szCs w:val="28"/>
              </w:rPr>
              <m:t>k</m:t>
            </m:r>
          </m:sub>
        </m:sSub>
      </m:oMath>
      <w:r w:rsidRPr="00BD3CC1">
        <w:rPr>
          <w:rFonts w:ascii="Times New Roman" w:hAnsi="Times New Roman" w:cs="Times New Roman"/>
          <w:sz w:val="28"/>
          <w:szCs w:val="28"/>
        </w:rPr>
        <w:t xml:space="preserve">is the word distribution for topic </w:t>
      </w:r>
      <m:oMath>
        <m:r>
          <w:rPr>
            <w:rFonts w:ascii="Cambria Math" w:hAnsi="Cambria Math" w:cs="Times New Roman"/>
            <w:sz w:val="28"/>
            <w:szCs w:val="28"/>
          </w:rPr>
          <m:t>k</m:t>
        </m:r>
      </m:oMath>
      <w:r w:rsidRPr="00BD3CC1">
        <w:rPr>
          <w:rFonts w:ascii="Times New Roman" w:hAnsi="Times New Roman" w:cs="Times New Roman"/>
          <w:sz w:val="28"/>
          <w:szCs w:val="28"/>
        </w:rPr>
        <w:t xml:space="preserve">and </w:t>
      </w:r>
      <m:oMath>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oMath>
      <w:r w:rsidRPr="00BD3CC1">
        <w:rPr>
          <w:rFonts w:ascii="Times New Roman" w:hAnsi="Times New Roman" w:cs="Times New Roman"/>
          <w:sz w:val="28"/>
          <w:szCs w:val="28"/>
        </w:rPr>
        <w:t>is a custom prior vector.</w:t>
      </w:r>
      <w:r w:rsidRPr="00BD3CC1">
        <w:rPr>
          <w:rFonts w:ascii="Times New Roman" w:hAnsi="Times New Roman" w:cs="Times New Roman"/>
          <w:sz w:val="28"/>
          <w:szCs w:val="28"/>
        </w:rPr>
        <w:br/>
        <w:t>For seed words belonging to predefined ESG topics, higher prior weight is given:</w:t>
      </w:r>
    </w:p>
    <w:p w14:paraId="04601518" w14:textId="0D8EB799" w:rsidR="00BD3CC1" w:rsidRPr="00BD3CC1" w:rsidRDefault="00397C89"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k,v</m:t>
              </m:r>
            </m:sub>
          </m:sSub>
          <m:r>
            <w:rPr>
              <w:rFonts w:ascii="Cambria Math" w:hAnsi="Cambria Math" w:cs="Times New Roman"/>
              <w:sz w:val="28"/>
              <w:szCs w:val="28"/>
            </w:rPr>
            <m:t>={</m:t>
          </m:r>
          <m:m>
            <m:mPr>
              <m:plcHide m:val="1"/>
              <m:mcs>
                <m:mc>
                  <m:mcPr>
                    <m:count m:val="2"/>
                    <m:mcJc m:val="center"/>
                  </m:mcPr>
                </m:mc>
              </m:mcs>
              <m:ctrlPr>
                <w:rPr>
                  <w:rFonts w:ascii="Cambria Math" w:hAnsi="Cambria Math" w:cs="Times New Roman"/>
                  <w:sz w:val="28"/>
                  <w:szCs w:val="28"/>
                </w:rPr>
              </m:ctrlPr>
            </m:mPr>
            <m:mr>
              <m:e>
                <m:r>
                  <w:rPr>
                    <w:rFonts w:ascii="Cambria Math" w:hAnsi="Cambria Math" w:cs="Times New Roman"/>
                    <w:sz w:val="28"/>
                    <w:szCs w:val="28"/>
                  </w:rPr>
                  <m:t>seed</m:t>
                </m:r>
                <m:r>
                  <m:rPr>
                    <m:sty m:val="p"/>
                  </m:rPr>
                  <w:rPr>
                    <w:rFonts w:ascii="Cambria Math" w:hAnsi="Cambria Math" w:cs="Times New Roman"/>
                    <w:sz w:val="28"/>
                    <w:szCs w:val="28"/>
                  </w:rPr>
                  <m:t>_</m:t>
                </m:r>
                <m:r>
                  <w:rPr>
                    <w:rFonts w:ascii="Cambria Math" w:hAnsi="Cambria Math" w:cs="Times New Roman"/>
                    <w:sz w:val="28"/>
                    <w:szCs w:val="28"/>
                  </w:rPr>
                  <m:t>weight×c,</m:t>
                </m:r>
              </m:e>
              <m:e>
                <m:r>
                  <m:rPr>
                    <m:nor/>
                  </m:rPr>
                  <w:rPr>
                    <w:rFonts w:ascii="Times New Roman" w:hAnsi="Times New Roman" w:cs="Times New Roman"/>
                    <w:sz w:val="28"/>
                    <w:szCs w:val="28"/>
                  </w:rPr>
                  <m:t xml:space="preserve">if </m:t>
                </m:r>
                <m:r>
                  <w:rPr>
                    <w:rFonts w:ascii="Cambria Math" w:hAnsi="Cambria Math" w:cs="Times New Roman"/>
                    <w:sz w:val="28"/>
                    <w:szCs w:val="28"/>
                  </w:rPr>
                  <m:t>v</m:t>
                </m:r>
                <m:r>
                  <m:rPr>
                    <m:nor/>
                  </m:rPr>
                  <w:rPr>
                    <w:rFonts w:ascii="Times New Roman" w:hAnsi="Times New Roman" w:cs="Times New Roman"/>
                    <w:sz w:val="28"/>
                    <w:szCs w:val="28"/>
                  </w:rPr>
                  <m:t xml:space="preserve"> is a seed word for </m:t>
                </m:r>
                <m:r>
                  <w:rPr>
                    <w:rFonts w:ascii="Cambria Math" w:hAnsi="Cambria Math" w:cs="Times New Roman"/>
                    <w:sz w:val="28"/>
                    <w:szCs w:val="28"/>
                  </w:rPr>
                  <m:t>k</m:t>
                </m:r>
              </m:e>
            </m:mr>
            <m:mr>
              <m:e>
                <m:r>
                  <w:rPr>
                    <w:rFonts w:ascii="Cambria Math" w:hAnsi="Cambria Math" w:cs="Times New Roman"/>
                    <w:sz w:val="28"/>
                    <w:szCs w:val="28"/>
                  </w:rPr>
                  <m:t>1,</m:t>
                </m:r>
              </m:e>
              <m:e>
                <m:r>
                  <m:rPr>
                    <m:nor/>
                  </m:rPr>
                  <w:rPr>
                    <w:rFonts w:ascii="Times New Roman" w:hAnsi="Times New Roman" w:cs="Times New Roman"/>
                    <w:sz w:val="28"/>
                    <w:szCs w:val="28"/>
                  </w:rPr>
                  <m:t>otherwise</m:t>
                </m:r>
              </m:e>
            </m:mr>
          </m:m>
          <m:r>
            <m:rPr>
              <m:sty m:val="p"/>
            </m:rPr>
            <w:rPr>
              <w:rFonts w:ascii="Times New Roman" w:hAnsi="Times New Roman" w:cs="Times New Roman"/>
              <w:sz w:val="28"/>
              <w:szCs w:val="28"/>
            </w:rPr>
            <w:br/>
          </m:r>
        </m:oMath>
      </m:oMathPara>
    </w:p>
    <w:p w14:paraId="7515DBA9" w14:textId="3B934512"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Each word </w:t>
      </w: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d,n</m:t>
            </m:r>
          </m:sub>
        </m:sSub>
      </m:oMath>
      <w:r w:rsidRPr="00BD3CC1">
        <w:rPr>
          <w:rFonts w:ascii="Times New Roman" w:hAnsi="Times New Roman" w:cs="Times New Roman"/>
          <w:sz w:val="28"/>
          <w:szCs w:val="28"/>
        </w:rPr>
        <w:t xml:space="preserve">in a document is assigned a topic </w:t>
      </w:r>
      <m:oMath>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d,n</m:t>
            </m:r>
          </m:sub>
        </m:sSub>
      </m:oMath>
      <w:r w:rsidRPr="00BD3CC1">
        <w:rPr>
          <w:rFonts w:ascii="Times New Roman" w:hAnsi="Times New Roman" w:cs="Times New Roman"/>
          <w:sz w:val="28"/>
          <w:szCs w:val="28"/>
        </w:rPr>
        <w:t>:</w:t>
      </w:r>
    </w:p>
    <w:p w14:paraId="6298C719" w14:textId="68481C26" w:rsidR="00BD3CC1" w:rsidRPr="00BD3CC1" w:rsidRDefault="00397C89"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d,n</m:t>
              </m:r>
            </m:sub>
          </m:sSub>
          <m:r>
            <w:rPr>
              <w:rFonts w:ascii="Cambria Math" w:hAnsi="Cambria Math" w:cs="Times New Roman"/>
              <w:sz w:val="28"/>
              <w:szCs w:val="28"/>
            </w:rPr>
            <m:t>∼Categorical(</m:t>
          </m:r>
          <m:sSub>
            <m:sSubPr>
              <m:ctrlPr>
                <w:rPr>
                  <w:rFonts w:ascii="Cambria Math" w:hAnsi="Cambria Math" w:cs="Times New Roman"/>
                  <w:sz w:val="28"/>
                  <w:szCs w:val="28"/>
                </w:rPr>
              </m:ctrlPr>
            </m:sSubPr>
            <m:e>
              <m:r>
                <w:rPr>
                  <w:rFonts w:ascii="Cambria Math" w:hAnsi="Cambria Math" w:cs="Times New Roman"/>
                  <w:sz w:val="28"/>
                  <w:szCs w:val="28"/>
                </w:rPr>
                <m:t>θ</m:t>
              </m:r>
            </m:e>
            <m:sub>
              <m:r>
                <w:rPr>
                  <w:rFonts w:ascii="Cambria Math" w:hAnsi="Cambria Math" w:cs="Times New Roman"/>
                  <w:sz w:val="28"/>
                  <w:szCs w:val="28"/>
                </w:rPr>
                <m:t>d</m:t>
              </m:r>
            </m:sub>
          </m:sSub>
          <m:r>
            <w:rPr>
              <w:rFonts w:ascii="Cambria Math" w:hAnsi="Cambria Math" w:cs="Times New Roman"/>
              <w:sz w:val="28"/>
              <w:szCs w:val="28"/>
            </w:rPr>
            <m:t>)</m:t>
          </m:r>
          <m:r>
            <w:rPr>
              <w:rFonts w:ascii="Times New Roman" w:hAnsi="Times New Roman" w:cs="Times New Roman"/>
              <w:sz w:val="28"/>
              <w:szCs w:val="28"/>
            </w:rPr>
            <w:br/>
          </m:r>
        </m:oMath>
      </m:oMathPara>
    </w:p>
    <w:p w14:paraId="1A1AE8B8"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and generated from that topic’s word distribution:</w:t>
      </w:r>
    </w:p>
    <w:p w14:paraId="155E9E22" w14:textId="795E4897" w:rsidR="00BD3CC1" w:rsidRPr="00BD3CC1" w:rsidRDefault="00397C89"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d,n</m:t>
              </m:r>
            </m:sub>
          </m:sSub>
          <m:r>
            <w:rPr>
              <w:rFonts w:ascii="Cambria Math" w:hAnsi="Cambria Math" w:cs="Times New Roman"/>
              <w:sz w:val="28"/>
              <w:szCs w:val="28"/>
            </w:rPr>
            <m:t>∼Categorical(</m:t>
          </m:r>
          <m:sSub>
            <m:sSubPr>
              <m:ctrlPr>
                <w:rPr>
                  <w:rFonts w:ascii="Cambria Math" w:hAnsi="Cambria Math" w:cs="Times New Roman"/>
                  <w:sz w:val="28"/>
                  <w:szCs w:val="28"/>
                </w:rPr>
              </m:ctrlPr>
            </m:sSubPr>
            <m:e>
              <m:r>
                <w:rPr>
                  <w:rFonts w:ascii="Cambria Math" w:hAnsi="Cambria Math" w:cs="Times New Roman"/>
                  <w:sz w:val="28"/>
                  <w:szCs w:val="28"/>
                </w:rPr>
                <m:t>ϕ</m:t>
              </m:r>
            </m:e>
            <m:sub>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d,n</m:t>
                  </m:r>
                </m:sub>
              </m:sSub>
            </m:sub>
          </m:sSub>
          <m:r>
            <w:rPr>
              <w:rFonts w:ascii="Cambria Math" w:hAnsi="Cambria Math" w:cs="Times New Roman"/>
              <w:sz w:val="28"/>
              <w:szCs w:val="28"/>
            </w:rPr>
            <m:t>)</m:t>
          </m:r>
          <m:r>
            <w:rPr>
              <w:rFonts w:ascii="Times New Roman" w:hAnsi="Times New Roman" w:cs="Times New Roman"/>
              <w:sz w:val="28"/>
              <w:szCs w:val="28"/>
            </w:rPr>
            <w:br/>
          </m:r>
        </m:oMath>
      </m:oMathPara>
    </w:p>
    <w:p w14:paraId="69E5362C" w14:textId="5BA85DB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The posterior word probability for topic </w:t>
      </w:r>
      <m:oMath>
        <m:r>
          <w:rPr>
            <w:rFonts w:ascii="Cambria Math" w:hAnsi="Cambria Math" w:cs="Times New Roman"/>
            <w:sz w:val="28"/>
            <w:szCs w:val="28"/>
          </w:rPr>
          <m:t>k</m:t>
        </m:r>
      </m:oMath>
      <w:r w:rsidRPr="00BD3CC1">
        <w:rPr>
          <w:rFonts w:ascii="Times New Roman" w:hAnsi="Times New Roman" w:cs="Times New Roman"/>
          <w:sz w:val="28"/>
          <w:szCs w:val="28"/>
        </w:rPr>
        <w:t>is given by:</w:t>
      </w:r>
    </w:p>
    <w:p w14:paraId="195C1C30" w14:textId="287016E9"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P(w=v</m:t>
          </m:r>
          <m:r>
            <m:rPr>
              <m:sty m:val="p"/>
            </m:rPr>
            <w:rPr>
              <w:rFonts w:ascii="Cambria Math" w:hAnsi="Cambria Math" w:cs="Times New Roman"/>
              <w:sz w:val="28"/>
              <w:szCs w:val="28"/>
            </w:rPr>
            <m:t>∣</m:t>
          </m:r>
          <m:r>
            <w:rPr>
              <w:rFonts w:ascii="Cambria Math" w:hAnsi="Cambria Math" w:cs="Times New Roman"/>
              <w:sz w:val="28"/>
              <w:szCs w:val="28"/>
            </w:rPr>
            <m:t>z=k)=</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k,v</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k,v</m:t>
                  </m:r>
                </m:sub>
              </m:sSub>
            </m:num>
            <m:den>
              <m:nary>
                <m:naryPr>
                  <m:chr m:val="∑"/>
                  <m:limLoc m:val="undOvr"/>
                  <m:grow m:val="1"/>
                  <m:supHide m:val="1"/>
                  <m:ctrlPr>
                    <w:rPr>
                      <w:rFonts w:ascii="Cambria Math" w:hAnsi="Cambria Math" w:cs="Times New Roman"/>
                      <w:sz w:val="28"/>
                      <w:szCs w:val="28"/>
                    </w:rPr>
                  </m:ctrlPr>
                </m:naryPr>
                <m:sub>
                  <m:sSup>
                    <m:sSupPr>
                      <m:ctrlPr>
                        <w:rPr>
                          <w:rFonts w:ascii="Cambria Math" w:hAnsi="Cambria Math" w:cs="Times New Roman"/>
                          <w:sz w:val="28"/>
                          <w:szCs w:val="28"/>
                        </w:rPr>
                      </m:ctrlPr>
                    </m:sSupPr>
                    <m:e>
                      <m:r>
                        <w:rPr>
                          <w:rFonts w:ascii="Cambria Math" w:hAnsi="Cambria Math" w:cs="Times New Roman"/>
                          <w:sz w:val="28"/>
                          <w:szCs w:val="28"/>
                        </w:rPr>
                        <m:t>v</m:t>
                      </m:r>
                    </m:e>
                    <m:sup>
                      <m:r>
                        <m:rPr>
                          <m:sty m:val="p"/>
                        </m:rPr>
                        <w:rPr>
                          <w:rFonts w:ascii="Cambria Math" w:hAnsi="Cambria Math" w:cs="Times New Roman"/>
                          <w:sz w:val="28"/>
                          <w:szCs w:val="28"/>
                        </w:rPr>
                        <m:t>'</m:t>
                      </m:r>
                    </m:sup>
                  </m:sSup>
                </m:sub>
                <m:sup/>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Sup>
                    <m:sSupPr>
                      <m:ctrlPr>
                        <w:rPr>
                          <w:rFonts w:ascii="Cambria Math" w:hAnsi="Cambria Math" w:cs="Times New Roman"/>
                          <w:sz w:val="28"/>
                          <w:szCs w:val="28"/>
                        </w:rPr>
                      </m:ctrlPr>
                    </m:sSupPr>
                    <m:e>
                      <m:r>
                        <w:rPr>
                          <w:rFonts w:ascii="Cambria Math" w:hAnsi="Cambria Math" w:cs="Times New Roman"/>
                          <w:sz w:val="28"/>
                          <w:szCs w:val="28"/>
                        </w:rPr>
                        <m:t>v</m:t>
                      </m:r>
                    </m:e>
                    <m:sup>
                      <m:r>
                        <m:rPr>
                          <m:sty m:val="p"/>
                        </m:rPr>
                        <w:rPr>
                          <w:rFonts w:ascii="Cambria Math" w:hAnsi="Cambria Math" w:cs="Times New Roman"/>
                          <w:sz w:val="28"/>
                          <w:szCs w:val="28"/>
                        </w:rPr>
                        <m:t>'</m:t>
                      </m:r>
                    </m:sup>
                  </m:sSup>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Sup>
                    <m:sSupPr>
                      <m:ctrlPr>
                        <w:rPr>
                          <w:rFonts w:ascii="Cambria Math" w:hAnsi="Cambria Math" w:cs="Times New Roman"/>
                          <w:sz w:val="28"/>
                          <w:szCs w:val="28"/>
                        </w:rPr>
                      </m:ctrlPr>
                    </m:sSupPr>
                    <m:e>
                      <m:r>
                        <w:rPr>
                          <w:rFonts w:ascii="Cambria Math" w:hAnsi="Cambria Math" w:cs="Times New Roman"/>
                          <w:sz w:val="28"/>
                          <w:szCs w:val="28"/>
                        </w:rPr>
                        <m:t>v</m:t>
                      </m:r>
                    </m:e>
                    <m:sup>
                      <m:r>
                        <m:rPr>
                          <m:sty m:val="p"/>
                        </m:rPr>
                        <w:rPr>
                          <w:rFonts w:ascii="Cambria Math" w:hAnsi="Cambria Math" w:cs="Times New Roman"/>
                          <w:sz w:val="28"/>
                          <w:szCs w:val="28"/>
                        </w:rPr>
                        <m:t>'</m:t>
                      </m:r>
                    </m:sup>
                  </m:sSup>
                </m:sub>
              </m:sSub>
              <m:r>
                <w:rPr>
                  <w:rFonts w:ascii="Cambria Math" w:hAnsi="Cambria Math" w:cs="Times New Roman"/>
                  <w:sz w:val="28"/>
                  <w:szCs w:val="28"/>
                </w:rPr>
                <m:t>)</m:t>
              </m:r>
            </m:den>
          </m:f>
          <m:r>
            <m:rPr>
              <m:sty m:val="p"/>
            </m:rPr>
            <w:rPr>
              <w:rFonts w:ascii="Times New Roman" w:hAnsi="Times New Roman" w:cs="Times New Roman"/>
              <w:sz w:val="28"/>
              <w:szCs w:val="28"/>
            </w:rPr>
            <w:br/>
          </m:r>
        </m:oMath>
      </m:oMathPara>
    </w:p>
    <w:p w14:paraId="7DB22DFB" w14:textId="2387D4AD"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k,v</m:t>
            </m:r>
          </m:sub>
        </m:sSub>
      </m:oMath>
      <w:r w:rsidRPr="00BD3CC1">
        <w:rPr>
          <w:rFonts w:ascii="Times New Roman" w:hAnsi="Times New Roman" w:cs="Times New Roman"/>
          <w:sz w:val="28"/>
          <w:szCs w:val="28"/>
        </w:rPr>
        <w:t xml:space="preserve">is the count of word </w:t>
      </w:r>
      <m:oMath>
        <m:r>
          <w:rPr>
            <w:rFonts w:ascii="Cambria Math" w:hAnsi="Cambria Math" w:cs="Times New Roman"/>
            <w:sz w:val="28"/>
            <w:szCs w:val="28"/>
          </w:rPr>
          <m:t>v</m:t>
        </m:r>
      </m:oMath>
      <w:r w:rsidRPr="00BD3CC1">
        <w:rPr>
          <w:rFonts w:ascii="Times New Roman" w:hAnsi="Times New Roman" w:cs="Times New Roman"/>
          <w:sz w:val="28"/>
          <w:szCs w:val="28"/>
        </w:rPr>
        <w:t xml:space="preserve">assigned to topic </w:t>
      </w:r>
      <m:oMath>
        <m:r>
          <w:rPr>
            <w:rFonts w:ascii="Cambria Math" w:hAnsi="Cambria Math" w:cs="Times New Roman"/>
            <w:sz w:val="28"/>
            <w:szCs w:val="28"/>
          </w:rPr>
          <m:t>k</m:t>
        </m:r>
      </m:oMath>
      <w:r w:rsidRPr="00BD3CC1">
        <w:rPr>
          <w:rFonts w:ascii="Times New Roman" w:hAnsi="Times New Roman" w:cs="Times New Roman"/>
          <w:sz w:val="28"/>
          <w:szCs w:val="28"/>
        </w:rPr>
        <w:t>.</w:t>
      </w:r>
    </w:p>
    <w:p w14:paraId="379B0081" w14:textId="0FBF96A9"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The posterior estimate of topic proportion in document </w:t>
      </w:r>
      <m:oMath>
        <m:r>
          <w:rPr>
            <w:rFonts w:ascii="Cambria Math" w:hAnsi="Cambria Math" w:cs="Times New Roman"/>
            <w:sz w:val="28"/>
            <w:szCs w:val="28"/>
          </w:rPr>
          <m:t>d</m:t>
        </m:r>
      </m:oMath>
      <w:r w:rsidRPr="00BD3CC1">
        <w:rPr>
          <w:rFonts w:ascii="Times New Roman" w:hAnsi="Times New Roman" w:cs="Times New Roman"/>
          <w:sz w:val="28"/>
          <w:szCs w:val="28"/>
        </w:rPr>
        <w:t>is:</w:t>
      </w:r>
    </w:p>
    <w:p w14:paraId="506F1454" w14:textId="42B8DD2D"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P(z=k</m:t>
          </m:r>
          <m:r>
            <m:rPr>
              <m:sty m:val="p"/>
            </m:rPr>
            <w:rPr>
              <w:rFonts w:ascii="Cambria Math" w:hAnsi="Cambria Math" w:cs="Times New Roman"/>
              <w:sz w:val="28"/>
              <w:szCs w:val="28"/>
            </w:rPr>
            <m:t>∣</m:t>
          </m:r>
          <m:r>
            <w:rPr>
              <w:rFonts w:ascii="Cambria Math" w:hAnsi="Cambria Math" w:cs="Times New Roman"/>
              <w:sz w:val="28"/>
              <w:szCs w:val="28"/>
            </w:rPr>
            <m:t>d)=</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d,k</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k</m:t>
                  </m:r>
                </m:sub>
              </m:sSub>
            </m:num>
            <m:den>
              <m:nary>
                <m:naryPr>
                  <m:chr m:val="∑"/>
                  <m:limLoc m:val="undOvr"/>
                  <m:grow m:val="1"/>
                  <m:supHide m:val="1"/>
                  <m:ctrlPr>
                    <w:rPr>
                      <w:rFonts w:ascii="Cambria Math" w:hAnsi="Cambria Math" w:cs="Times New Roman"/>
                      <w:sz w:val="28"/>
                      <w:szCs w:val="28"/>
                    </w:rPr>
                  </m:ctrlPr>
                </m:naryPr>
                <m:sub>
                  <m:sSup>
                    <m:sSupPr>
                      <m:ctrlPr>
                        <w:rPr>
                          <w:rFonts w:ascii="Cambria Math" w:hAnsi="Cambria Math" w:cs="Times New Roman"/>
                          <w:sz w:val="28"/>
                          <w:szCs w:val="28"/>
                        </w:rPr>
                      </m:ctrlPr>
                    </m:sSupPr>
                    <m:e>
                      <m:r>
                        <w:rPr>
                          <w:rFonts w:ascii="Cambria Math" w:hAnsi="Cambria Math" w:cs="Times New Roman"/>
                          <w:sz w:val="28"/>
                          <w:szCs w:val="28"/>
                        </w:rPr>
                        <m:t>k</m:t>
                      </m:r>
                    </m:e>
                    <m:sup>
                      <m:r>
                        <m:rPr>
                          <m:sty m:val="p"/>
                        </m:rPr>
                        <w:rPr>
                          <w:rFonts w:ascii="Cambria Math" w:hAnsi="Cambria Math" w:cs="Times New Roman"/>
                          <w:sz w:val="28"/>
                          <w:szCs w:val="28"/>
                        </w:rPr>
                        <m:t>'</m:t>
                      </m:r>
                    </m:sup>
                  </m:sSup>
                </m:sub>
                <m:sup/>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d,</m:t>
                  </m:r>
                  <m:sSup>
                    <m:sSupPr>
                      <m:ctrlPr>
                        <w:rPr>
                          <w:rFonts w:ascii="Cambria Math" w:hAnsi="Cambria Math" w:cs="Times New Roman"/>
                          <w:sz w:val="28"/>
                          <w:szCs w:val="28"/>
                        </w:rPr>
                      </m:ctrlPr>
                    </m:sSupPr>
                    <m:e>
                      <m:r>
                        <w:rPr>
                          <w:rFonts w:ascii="Cambria Math" w:hAnsi="Cambria Math" w:cs="Times New Roman"/>
                          <w:sz w:val="28"/>
                          <w:szCs w:val="28"/>
                        </w:rPr>
                        <m:t>k</m:t>
                      </m:r>
                    </m:e>
                    <m:sup>
                      <m:r>
                        <m:rPr>
                          <m:sty m:val="p"/>
                        </m:rPr>
                        <w:rPr>
                          <w:rFonts w:ascii="Cambria Math" w:hAnsi="Cambria Math" w:cs="Times New Roman"/>
                          <w:sz w:val="28"/>
                          <w:szCs w:val="28"/>
                        </w:rPr>
                        <m:t>'</m:t>
                      </m:r>
                    </m:sup>
                  </m:sSup>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α</m:t>
                  </m:r>
                </m:e>
                <m:sub>
                  <m:sSup>
                    <m:sSupPr>
                      <m:ctrlPr>
                        <w:rPr>
                          <w:rFonts w:ascii="Cambria Math" w:hAnsi="Cambria Math" w:cs="Times New Roman"/>
                          <w:sz w:val="28"/>
                          <w:szCs w:val="28"/>
                        </w:rPr>
                      </m:ctrlPr>
                    </m:sSupPr>
                    <m:e>
                      <m:r>
                        <w:rPr>
                          <w:rFonts w:ascii="Cambria Math" w:hAnsi="Cambria Math" w:cs="Times New Roman"/>
                          <w:sz w:val="28"/>
                          <w:szCs w:val="28"/>
                        </w:rPr>
                        <m:t>k</m:t>
                      </m:r>
                    </m:e>
                    <m:sup>
                      <m:r>
                        <m:rPr>
                          <m:sty m:val="p"/>
                        </m:rPr>
                        <w:rPr>
                          <w:rFonts w:ascii="Cambria Math" w:hAnsi="Cambria Math" w:cs="Times New Roman"/>
                          <w:sz w:val="28"/>
                          <w:szCs w:val="28"/>
                        </w:rPr>
                        <m:t>'</m:t>
                      </m:r>
                    </m:sup>
                  </m:sSup>
                </m:sub>
              </m:sSub>
              <m:r>
                <w:rPr>
                  <w:rFonts w:ascii="Cambria Math" w:hAnsi="Cambria Math" w:cs="Times New Roman"/>
                  <w:sz w:val="28"/>
                  <w:szCs w:val="28"/>
                </w:rPr>
                <m:t>)</m:t>
              </m:r>
            </m:den>
          </m:f>
          <m:r>
            <m:rPr>
              <m:sty m:val="p"/>
            </m:rPr>
            <w:rPr>
              <w:rFonts w:ascii="Times New Roman" w:hAnsi="Times New Roman" w:cs="Times New Roman"/>
              <w:sz w:val="28"/>
              <w:szCs w:val="28"/>
            </w:rPr>
            <w:br/>
          </m:r>
        </m:oMath>
      </m:oMathPara>
    </w:p>
    <w:p w14:paraId="506BAE96" w14:textId="0D952BB3" w:rsidR="00BD3CC1" w:rsidRPr="00BD3CC1" w:rsidRDefault="00BD3CC1" w:rsidP="00BD3CC1">
      <w:pPr>
        <w:rPr>
          <w:rFonts w:ascii="Times New Roman" w:hAnsi="Times New Roman" w:cs="Times New Roman"/>
          <w:sz w:val="28"/>
          <w:szCs w:val="28"/>
        </w:rPr>
      </w:pPr>
    </w:p>
    <w:p w14:paraId="4E1582B0"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2. Concreteness and Vagueness Scoring</w:t>
      </w:r>
    </w:p>
    <w:p w14:paraId="2A437DBE"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The linguistic clarity of ESG sections is quantified by computing densities of numeric, unit-based, and temporal expressions versus hedge or vague terms.</w:t>
      </w:r>
    </w:p>
    <w:p w14:paraId="72311068" w14:textId="77777777" w:rsidR="00374C42" w:rsidRPr="00374C42" w:rsidRDefault="00BD3CC1" w:rsidP="00BD3CC1">
      <w:pPr>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Concreteness=(Number</m:t>
          </m:r>
          <m:r>
            <m:rPr>
              <m:nor/>
            </m:rPr>
            <w:rPr>
              <w:rFonts w:ascii="Times New Roman" w:hAnsi="Times New Roman" w:cs="Times New Roman"/>
              <w:sz w:val="28"/>
              <w:szCs w:val="28"/>
            </w:rPr>
            <m:t xml:space="preserve"> </m:t>
          </m:r>
          <m:r>
            <w:rPr>
              <w:rFonts w:ascii="Cambria Math" w:hAnsi="Cambria Math" w:cs="Times New Roman"/>
              <w:sz w:val="28"/>
              <w:szCs w:val="28"/>
            </w:rPr>
            <m:t>Density×8)+(Unit</m:t>
          </m:r>
          <m:r>
            <m:rPr>
              <m:nor/>
            </m:rPr>
            <w:rPr>
              <w:rFonts w:ascii="Times New Roman" w:hAnsi="Times New Roman" w:cs="Times New Roman"/>
              <w:sz w:val="28"/>
              <w:szCs w:val="28"/>
            </w:rPr>
            <m:t xml:space="preserve"> </m:t>
          </m:r>
          <m:r>
            <w:rPr>
              <w:rFonts w:ascii="Cambria Math" w:hAnsi="Cambria Math" w:cs="Times New Roman"/>
              <w:sz w:val="28"/>
              <w:szCs w:val="28"/>
            </w:rPr>
            <m:t>Density×12)+(Year</m:t>
          </m:r>
          <m:r>
            <m:rPr>
              <m:nor/>
            </m:rPr>
            <w:rPr>
              <w:rFonts w:ascii="Times New Roman" w:hAnsi="Times New Roman" w:cs="Times New Roman"/>
              <w:sz w:val="28"/>
              <w:szCs w:val="28"/>
            </w:rPr>
            <m:t xml:space="preserve"> </m:t>
          </m:r>
          <m:r>
            <w:rPr>
              <w:rFonts w:ascii="Cambria Math" w:hAnsi="Cambria Math" w:cs="Times New Roman"/>
              <w:sz w:val="28"/>
              <w:szCs w:val="28"/>
            </w:rPr>
            <m:t>Density×7)</m:t>
          </m:r>
          <m:r>
            <w:rPr>
              <w:rFonts w:ascii="Times New Roman" w:hAnsi="Times New Roman" w:cs="Times New Roman"/>
              <w:sz w:val="28"/>
              <w:szCs w:val="28"/>
            </w:rPr>
            <w:br/>
          </m:r>
        </m:oMath>
        <m:oMath>
          <m:r>
            <w:rPr>
              <w:rFonts w:ascii="Cambria Math" w:hAnsi="Cambria Math" w:cs="Times New Roman"/>
              <w:sz w:val="28"/>
              <w:szCs w:val="28"/>
            </w:rPr>
            <m:t>Vagueness=(Hedge</m:t>
          </m:r>
          <m:r>
            <m:rPr>
              <m:nor/>
            </m:rPr>
            <w:rPr>
              <w:rFonts w:ascii="Times New Roman" w:hAnsi="Times New Roman" w:cs="Times New Roman"/>
              <w:sz w:val="28"/>
              <w:szCs w:val="28"/>
            </w:rPr>
            <m:t xml:space="preserve"> </m:t>
          </m:r>
          <m:r>
            <w:rPr>
              <w:rFonts w:ascii="Cambria Math" w:hAnsi="Cambria Math" w:cs="Times New Roman"/>
              <w:sz w:val="28"/>
              <w:szCs w:val="28"/>
            </w:rPr>
            <m:t>Density×14)+(Vague</m:t>
          </m:r>
          <m:r>
            <m:rPr>
              <m:nor/>
            </m:rPr>
            <w:rPr>
              <w:rFonts w:ascii="Times New Roman" w:hAnsi="Times New Roman" w:cs="Times New Roman"/>
              <w:sz w:val="28"/>
              <w:szCs w:val="28"/>
            </w:rPr>
            <m:t xml:space="preserve"> </m:t>
          </m:r>
          <m:r>
            <w:rPr>
              <w:rFonts w:ascii="Cambria Math" w:hAnsi="Cambria Math" w:cs="Times New Roman"/>
              <w:sz w:val="28"/>
              <w:szCs w:val="28"/>
            </w:rPr>
            <m:t>Density×10)</m:t>
          </m:r>
          <m:r>
            <w:rPr>
              <w:rFonts w:ascii="Times New Roman" w:hAnsi="Times New Roman" w:cs="Times New Roman"/>
              <w:sz w:val="28"/>
              <w:szCs w:val="28"/>
            </w:rPr>
            <w:br/>
          </m:r>
        </m:oMath>
      </m:oMathPara>
    </w:p>
    <w:p w14:paraId="7A3BB9C3" w14:textId="4F6509AD"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Score=0.5+(Concreteness×0.4)-(Vagueness×0.4)</m:t>
          </m:r>
          <m:r>
            <w:rPr>
              <w:rFonts w:ascii="Times New Roman" w:hAnsi="Times New Roman" w:cs="Times New Roman"/>
              <w:sz w:val="28"/>
              <w:szCs w:val="28"/>
            </w:rPr>
            <w:br/>
          </m:r>
        </m:oMath>
      </m:oMathPara>
    </w:p>
    <w:p w14:paraId="60526294"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Higher concreteness values imply more measurable, factual language.</w:t>
      </w:r>
    </w:p>
    <w:p w14:paraId="539CA19B" w14:textId="2EBA383D" w:rsidR="00BD3CC1" w:rsidRPr="00BD3CC1" w:rsidRDefault="00BD3CC1" w:rsidP="00BD3CC1">
      <w:pPr>
        <w:rPr>
          <w:rFonts w:ascii="Times New Roman" w:hAnsi="Times New Roman" w:cs="Times New Roman"/>
          <w:sz w:val="28"/>
          <w:szCs w:val="28"/>
        </w:rPr>
      </w:pPr>
    </w:p>
    <w:p w14:paraId="3AF088FB"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3. Token Count and ESG Percentages</w:t>
      </w:r>
    </w:p>
    <w:p w14:paraId="38C3DE93"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To quantify focus across ESG pillars:</w:t>
      </w:r>
    </w:p>
    <w:p w14:paraId="6F435B9B" w14:textId="77777777" w:rsidR="002B1C83" w:rsidRPr="002B1C83" w:rsidRDefault="00BD3CC1" w:rsidP="00BD3CC1">
      <w:pPr>
        <w:rPr>
          <w:rFonts w:ascii="Times New Roman" w:eastAsiaTheme="minorEastAsia" w:hAnsi="Times New Roman" w:cs="Times New Roman"/>
          <w:i/>
          <w:sz w:val="28"/>
          <w:szCs w:val="28"/>
        </w:rPr>
      </w:pPr>
      <m:oMathPara>
        <m:oMath>
          <m:r>
            <w:rPr>
              <w:rFonts w:ascii="Cambria Math" w:hAnsi="Cambria Math" w:cs="Times New Roman"/>
              <w:sz w:val="28"/>
              <w:szCs w:val="28"/>
            </w:rPr>
            <m:t>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Dimension</m:t>
              </m:r>
            </m:sub>
          </m:sSub>
          <m:r>
            <w:rPr>
              <w:rFonts w:ascii="Cambria Math" w:hAnsi="Cambria Math" w:cs="Times New Roman"/>
              <w:sz w:val="28"/>
              <w:szCs w:val="28"/>
            </w:rPr>
            <m:t>=∑(Word</m:t>
          </m:r>
          <m:r>
            <m:rPr>
              <m:nor/>
            </m:rPr>
            <w:rPr>
              <w:rFonts w:ascii="Times New Roman" w:hAnsi="Times New Roman" w:cs="Times New Roman"/>
              <w:sz w:val="28"/>
              <w:szCs w:val="28"/>
            </w:rPr>
            <m:t xml:space="preserve"> </m:t>
          </m:r>
          <m:r>
            <w:rPr>
              <w:rFonts w:ascii="Cambria Math" w:hAnsi="Cambria Math" w:cs="Times New Roman"/>
              <w:sz w:val="28"/>
              <w:szCs w:val="28"/>
            </w:rPr>
            <m:t>count</m:t>
          </m:r>
          <m:r>
            <m:rPr>
              <m:nor/>
            </m:rPr>
            <w:rPr>
              <w:rFonts w:ascii="Times New Roman" w:hAnsi="Times New Roman" w:cs="Times New Roman"/>
              <w:sz w:val="28"/>
              <w:szCs w:val="28"/>
            </w:rPr>
            <m:t xml:space="preserve"> </m:t>
          </m:r>
          <m:r>
            <w:rPr>
              <w:rFonts w:ascii="Cambria Math" w:hAnsi="Cambria Math" w:cs="Times New Roman"/>
              <w:sz w:val="28"/>
              <w:szCs w:val="28"/>
            </w:rPr>
            <m:t>per</m:t>
          </m:r>
          <m:r>
            <m:rPr>
              <m:nor/>
            </m:rPr>
            <w:rPr>
              <w:rFonts w:ascii="Times New Roman" w:hAnsi="Times New Roman" w:cs="Times New Roman"/>
              <w:sz w:val="28"/>
              <w:szCs w:val="28"/>
            </w:rPr>
            <m:t xml:space="preserve"> </m:t>
          </m:r>
          <m:r>
            <w:rPr>
              <w:rFonts w:ascii="Cambria Math" w:hAnsi="Cambria Math" w:cs="Times New Roman"/>
              <w:sz w:val="28"/>
              <w:szCs w:val="28"/>
            </w:rPr>
            <m:t>sentence</m:t>
          </m:r>
          <m:r>
            <m:rPr>
              <m:nor/>
            </m:rPr>
            <w:rPr>
              <w:rFonts w:ascii="Times New Roman" w:hAnsi="Times New Roman" w:cs="Times New Roman"/>
              <w:sz w:val="28"/>
              <w:szCs w:val="28"/>
            </w:rPr>
            <m:t xml:space="preserve"> </m:t>
          </m:r>
          <m:r>
            <w:rPr>
              <w:rFonts w:ascii="Cambria Math" w:hAnsi="Cambria Math" w:cs="Times New Roman"/>
              <w:sz w:val="28"/>
              <w:szCs w:val="28"/>
            </w:rPr>
            <m:t>tagged</m:t>
          </m:r>
          <m:r>
            <m:rPr>
              <m:nor/>
            </m:rPr>
            <w:rPr>
              <w:rFonts w:ascii="Times New Roman" w:hAnsi="Times New Roman" w:cs="Times New Roman"/>
              <w:sz w:val="28"/>
              <w:szCs w:val="28"/>
            </w:rPr>
            <m:t xml:space="preserve"> </m:t>
          </m:r>
          <m:r>
            <w:rPr>
              <w:rFonts w:ascii="Cambria Math" w:hAnsi="Cambria Math" w:cs="Times New Roman"/>
              <w:sz w:val="28"/>
              <w:szCs w:val="28"/>
            </w:rPr>
            <m:t>as</m:t>
          </m:r>
          <m:r>
            <m:rPr>
              <m:nor/>
            </m:rPr>
            <w:rPr>
              <w:rFonts w:ascii="Times New Roman" w:hAnsi="Times New Roman" w:cs="Times New Roman"/>
              <w:sz w:val="28"/>
              <w:szCs w:val="28"/>
            </w:rPr>
            <m:t xml:space="preserve"> </m:t>
          </m:r>
          <m:r>
            <w:rPr>
              <w:rFonts w:ascii="Cambria Math" w:hAnsi="Cambria Math" w:cs="Times New Roman"/>
              <w:sz w:val="28"/>
              <w:szCs w:val="28"/>
            </w:rPr>
            <m:t>dimension)</m:t>
          </m:r>
          <m:r>
            <w:rPr>
              <w:rFonts w:ascii="Times New Roman" w:hAnsi="Times New Roman" w:cs="Times New Roman"/>
              <w:sz w:val="28"/>
              <w:szCs w:val="28"/>
            </w:rPr>
            <w:br/>
          </m:r>
        </m:oMath>
      </m:oMathPara>
    </w:p>
    <w:p w14:paraId="36FEAECC" w14:textId="63848DDE" w:rsidR="002B1C83" w:rsidRPr="002B1C83" w:rsidRDefault="00BD3CC1" w:rsidP="00BD3CC1">
      <w:pPr>
        <w:rPr>
          <w:rFonts w:ascii="Times New Roman" w:eastAsiaTheme="minorEastAsia" w:hAnsi="Times New Roman" w:cs="Times New Roman"/>
          <w:sz w:val="28"/>
          <w:szCs w:val="28"/>
        </w:rPr>
      </w:pPr>
      <m:oMathPara>
        <m:oMath>
          <m:r>
            <w:rPr>
              <w:rFonts w:ascii="Cambria Math" w:hAnsi="Cambria Math" w:cs="Times New Roman"/>
              <w:sz w:val="28"/>
              <w:szCs w:val="28"/>
            </w:rPr>
            <m:t>Total</m:t>
          </m:r>
          <m:r>
            <m:rPr>
              <m:nor/>
            </m:rPr>
            <w:rPr>
              <w:rFonts w:ascii="Times New Roman" w:hAnsi="Times New Roman" w:cs="Times New Roman"/>
              <w:sz w:val="28"/>
              <w:szCs w:val="28"/>
            </w:rPr>
            <m:t xml:space="preserve"> </m:t>
          </m:r>
          <m:r>
            <w:rPr>
              <w:rFonts w:ascii="Cambria Math" w:hAnsi="Cambria Math" w:cs="Times New Roman"/>
              <w:sz w:val="28"/>
              <w:szCs w:val="28"/>
            </w:rPr>
            <m:t>ESG</m:t>
          </m:r>
          <m:r>
            <m:rPr>
              <m:nor/>
            </m:rPr>
            <w:rPr>
              <w:rFonts w:ascii="Times New Roman" w:hAnsi="Times New Roman" w:cs="Times New Roman"/>
              <w:sz w:val="28"/>
              <w:szCs w:val="28"/>
            </w:rPr>
            <m:t xml:space="preserve"> </m:t>
          </m:r>
          <m:r>
            <w:rPr>
              <w:rFonts w:ascii="Cambria Math" w:hAnsi="Cambria Math" w:cs="Times New Roman"/>
              <w:sz w:val="28"/>
              <w:szCs w:val="28"/>
            </w:rPr>
            <m:t>Tokens=Token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E</m:t>
              </m:r>
            </m:sub>
          </m:sSub>
          <m:r>
            <w:rPr>
              <w:rFonts w:ascii="Cambria Math" w:hAnsi="Cambria Math" w:cs="Times New Roman"/>
              <w:sz w:val="28"/>
              <w:szCs w:val="28"/>
            </w:rPr>
            <m:t>+Token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S</m:t>
              </m:r>
            </m:sub>
          </m:sSub>
          <m:r>
            <w:rPr>
              <w:rFonts w:ascii="Cambria Math" w:hAnsi="Cambria Math" w:cs="Times New Roman"/>
              <w:sz w:val="28"/>
              <w:szCs w:val="28"/>
            </w:rPr>
            <m:t>+Token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G</m:t>
              </m:r>
            </m:sub>
          </m:sSub>
          <m:r>
            <m:rPr>
              <m:sty m:val="p"/>
            </m:rPr>
            <w:rPr>
              <w:rFonts w:ascii="Times New Roman" w:hAnsi="Times New Roman" w:cs="Times New Roman"/>
              <w:sz w:val="28"/>
              <w:szCs w:val="28"/>
            </w:rPr>
            <w:br/>
          </m:r>
        </m:oMath>
      </m:oMathPara>
    </w:p>
    <w:p w14:paraId="4D3E7BA1" w14:textId="6DC976F2"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Overall</m:t>
          </m:r>
          <m:r>
            <m:rPr>
              <m:nor/>
            </m:rPr>
            <w:rPr>
              <w:rFonts w:ascii="Times New Roman" w:hAnsi="Times New Roman" w:cs="Times New Roman"/>
              <w:sz w:val="28"/>
              <w:szCs w:val="28"/>
            </w:rPr>
            <m:t xml:space="preserve"> </m:t>
          </m:r>
          <m:r>
            <w:rPr>
              <w:rFonts w:ascii="Cambria Math" w:hAnsi="Cambria Math" w:cs="Times New Roman"/>
              <w:sz w:val="28"/>
              <w:szCs w:val="28"/>
            </w:rPr>
            <m:t>ESG</m:t>
          </m:r>
          <m:r>
            <m:rPr>
              <m:nor/>
            </m:rPr>
            <w:rPr>
              <w:rFonts w:ascii="Times New Roman" w:hAnsi="Times New Roman" w:cs="Times New Roman"/>
              <w:sz w:val="28"/>
              <w:szCs w:val="28"/>
            </w:rPr>
            <m:t xml:space="preserve"> </m:t>
          </m:r>
          <m:r>
            <w:rPr>
              <w:rFonts w:ascii="Cambria Math" w:hAnsi="Cambria Math" w:cs="Times New Roman"/>
              <w:sz w:val="28"/>
              <w:szCs w:val="28"/>
            </w:rPr>
            <m:t>Content=(</m:t>
          </m:r>
          <m:f>
            <m:fPr>
              <m:ctrlPr>
                <w:rPr>
                  <w:rFonts w:ascii="Cambria Math" w:hAnsi="Cambria Math" w:cs="Times New Roman"/>
                  <w:i/>
                  <w:sz w:val="28"/>
                  <w:szCs w:val="28"/>
                </w:rPr>
              </m:ctrlPr>
            </m:fPr>
            <m:num>
              <m:r>
                <w:rPr>
                  <w:rFonts w:ascii="Cambria Math" w:hAnsi="Cambria Math" w:cs="Times New Roman"/>
                  <w:sz w:val="28"/>
                  <w:szCs w:val="28"/>
                </w:rPr>
                <m:t>Total ESG Tokens</m:t>
              </m:r>
            </m:num>
            <m:den>
              <m:r>
                <w:rPr>
                  <w:rFonts w:ascii="Cambria Math" w:hAnsi="Cambria Math" w:cs="Times New Roman"/>
                  <w:sz w:val="28"/>
                  <w:szCs w:val="28"/>
                </w:rPr>
                <m:t>Total Tokens in Report</m:t>
              </m:r>
            </m:den>
          </m:f>
          <m:r>
            <w:rPr>
              <w:rFonts w:ascii="Cambria Math" w:hAnsi="Cambria Math" w:cs="Times New Roman"/>
              <w:sz w:val="28"/>
              <w:szCs w:val="28"/>
            </w:rPr>
            <m:t xml:space="preserve">)*100 </m:t>
          </m:r>
          <m:r>
            <w:rPr>
              <w:rFonts w:ascii="Times New Roman" w:hAnsi="Times New Roman" w:cs="Times New Roman"/>
              <w:sz w:val="28"/>
              <w:szCs w:val="28"/>
            </w:rPr>
            <w:br/>
          </m:r>
        </m:oMath>
      </m:oMathPara>
    </w:p>
    <w:p w14:paraId="71199B3D"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These measures show the proportion of text allocated to Environmental (E), Social (S), and Governance (G) topics.</w:t>
      </w:r>
    </w:p>
    <w:p w14:paraId="7E65657F" w14:textId="390C3734" w:rsidR="00BD3CC1" w:rsidRPr="00BD3CC1" w:rsidRDefault="00BD3CC1" w:rsidP="00BD3CC1">
      <w:pPr>
        <w:rPr>
          <w:rFonts w:ascii="Times New Roman" w:hAnsi="Times New Roman" w:cs="Times New Roman"/>
          <w:sz w:val="28"/>
          <w:szCs w:val="28"/>
        </w:rPr>
      </w:pPr>
    </w:p>
    <w:p w14:paraId="12F3C089"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4. Greenwashing Risk Index (GRI)</w:t>
      </w:r>
    </w:p>
    <w:p w14:paraId="2C2E03F0"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To evaluate the balance between ESG talk and linguistic clarity:</w:t>
      </w:r>
    </w:p>
    <w:p w14:paraId="7C59E28E" w14:textId="701C619D" w:rsidR="00BD3CC1" w:rsidRPr="00BD3CC1" w:rsidRDefault="00BD3CC1" w:rsidP="00BD3CC1">
      <w:pPr>
        <w:rPr>
          <w:rFonts w:ascii="Times New Roman" w:eastAsiaTheme="minorEastAsia" w:hAnsi="Times New Roman" w:cs="Times New Roman"/>
          <w:sz w:val="28"/>
          <w:szCs w:val="28"/>
        </w:rPr>
      </w:pPr>
      <m:oMathPara>
        <m:oMath>
          <m:r>
            <w:rPr>
              <w:rFonts w:ascii="Cambria Math" w:hAnsi="Cambria Math" w:cs="Times New Roman"/>
              <w:sz w:val="28"/>
              <w:szCs w:val="28"/>
            </w:rPr>
            <m:t>GRI=Overall ESG Content/(Overall Concreteness+0.01 )</m:t>
          </m:r>
          <m:r>
            <m:rPr>
              <m:sty m:val="p"/>
            </m:rPr>
            <w:rPr>
              <w:rFonts w:ascii="Times New Roman" w:hAnsi="Times New Roman" w:cs="Times New Roman"/>
              <w:sz w:val="28"/>
              <w:szCs w:val="28"/>
            </w:rPr>
            <w:br/>
          </m:r>
        </m:oMath>
      </m:oMathPara>
    </w:p>
    <w:p w14:paraId="1F554FA8" w14:textId="0E0393B7" w:rsid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A higher GRI indicates more ESG emphasis relative to clarity (possible rhetorical inflation), while a lower GRI suggests balanced and credible reporting.</w:t>
      </w:r>
    </w:p>
    <w:p w14:paraId="14854CF4" w14:textId="2023A134" w:rsidR="004D24F4" w:rsidRPr="00BD3CC1" w:rsidRDefault="004D24F4" w:rsidP="00BD3CC1">
      <w:pPr>
        <w:rPr>
          <w:rFonts w:ascii="Times New Roman" w:hAnsi="Times New Roman" w:cs="Times New Roman"/>
          <w:sz w:val="28"/>
          <w:szCs w:val="28"/>
        </w:rPr>
      </w:pPr>
    </w:p>
    <w:p w14:paraId="26DDB36E" w14:textId="24AEA4D4" w:rsidR="00BD3CC1" w:rsidRPr="00BD3CC1" w:rsidRDefault="00BD3CC1" w:rsidP="00BD3CC1">
      <w:pPr>
        <w:rPr>
          <w:rFonts w:ascii="Times New Roman" w:hAnsi="Times New Roman" w:cs="Times New Roman"/>
          <w:sz w:val="28"/>
          <w:szCs w:val="28"/>
        </w:rPr>
      </w:pPr>
    </w:p>
    <w:p w14:paraId="22393CCF"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5. Topic Coherence Evaluation</w:t>
      </w:r>
    </w:p>
    <w:p w14:paraId="08DE8D5F" w14:textId="77777777" w:rsid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lastRenderedPageBreak/>
        <w:t>To validate topic quality, we computed Coherence Scores, which measure semantic similarity among top words within each topic.</w:t>
      </w:r>
    </w:p>
    <w:p w14:paraId="5C9B89ED" w14:textId="77777777" w:rsidR="002B1C83" w:rsidRDefault="002B1C83" w:rsidP="002B1C83">
      <w:pPr>
        <w:rPr>
          <w:rFonts w:ascii="Times New Roman" w:hAnsi="Times New Roman" w:cs="Times New Roman"/>
          <w:sz w:val="28"/>
          <w:szCs w:val="28"/>
        </w:rPr>
      </w:pPr>
      <w:r w:rsidRPr="002B1C83">
        <w:rPr>
          <w:rFonts w:ascii="Times New Roman" w:hAnsi="Times New Roman" w:cs="Times New Roman"/>
          <w:sz w:val="28"/>
          <w:szCs w:val="28"/>
        </w:rPr>
        <w:t>Higher values indicate more meaningful, interpretable topics.</w:t>
      </w:r>
    </w:p>
    <w:p w14:paraId="781E2319" w14:textId="784C0C3B" w:rsidR="002B1C83" w:rsidRPr="002B1C83" w:rsidRDefault="004D24F4" w:rsidP="002B1C8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87E2F4B" wp14:editId="0B775F97">
                <wp:simplePos x="0" y="0"/>
                <wp:positionH relativeFrom="column">
                  <wp:posOffset>-82550</wp:posOffset>
                </wp:positionH>
                <wp:positionV relativeFrom="paragraph">
                  <wp:posOffset>299085</wp:posOffset>
                </wp:positionV>
                <wp:extent cx="5727700" cy="2692400"/>
                <wp:effectExtent l="19050" t="19050" r="44450" b="31750"/>
                <wp:wrapNone/>
                <wp:docPr id="23726996" name="Rectangle 3"/>
                <wp:cNvGraphicFramePr/>
                <a:graphic xmlns:a="http://schemas.openxmlformats.org/drawingml/2006/main">
                  <a:graphicData uri="http://schemas.microsoft.com/office/word/2010/wordprocessingShape">
                    <wps:wsp>
                      <wps:cNvSpPr/>
                      <wps:spPr>
                        <a:xfrm>
                          <a:off x="0" y="0"/>
                          <a:ext cx="5727700" cy="2692400"/>
                        </a:xfrm>
                        <a:prstGeom prst="rect">
                          <a:avLst/>
                        </a:prstGeom>
                        <a:noFill/>
                        <a:ln w="571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5BF4B" id="Rectangle 3" o:spid="_x0000_s1026" style="position:absolute;margin-left:-6.5pt;margin-top:23.55pt;width:451pt;height:2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" filled="f" strokecolor="black [3213]" strokeweight="4.5pt"/>
            </w:pict>
          </mc:Fallback>
        </mc:AlternateContent>
      </w:r>
    </w:p>
    <w:p w14:paraId="29477146" w14:textId="1B7C62E4" w:rsidR="004D24F4" w:rsidRDefault="004D24F4" w:rsidP="004D24F4">
      <w:pPr>
        <w:pStyle w:val="Caption"/>
        <w:keepNext/>
      </w:pPr>
      <w:r>
        <w:t xml:space="preserve">Table </w:t>
      </w:r>
      <w:fldSimple w:instr=" SEQ Table \* ARABIC ">
        <w:r w:rsidR="00774817">
          <w:rPr>
            <w:noProof/>
          </w:rPr>
          <w:t>1</w:t>
        </w:r>
      </w:fldSimple>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1821"/>
        <w:gridCol w:w="5027"/>
      </w:tblGrid>
      <w:tr w:rsidR="002B1C83" w:rsidRPr="002B1C83" w14:paraId="76807756" w14:textId="77777777">
        <w:trPr>
          <w:tblHeader/>
          <w:tblCellSpacing w:w="15" w:type="dxa"/>
        </w:trPr>
        <w:tc>
          <w:tcPr>
            <w:tcW w:w="0" w:type="auto"/>
            <w:vAlign w:val="center"/>
            <w:hideMark/>
          </w:tcPr>
          <w:p w14:paraId="560727BB" w14:textId="03C4BF36" w:rsidR="002B1C83" w:rsidRPr="002B1C83" w:rsidRDefault="002B1C83" w:rsidP="002B1C83">
            <w:pPr>
              <w:rPr>
                <w:rFonts w:ascii="Times New Roman" w:hAnsi="Times New Roman" w:cs="Times New Roman"/>
                <w:b/>
                <w:bCs/>
                <w:sz w:val="28"/>
                <w:szCs w:val="28"/>
              </w:rPr>
            </w:pPr>
            <w:r w:rsidRPr="002B1C83">
              <w:rPr>
                <w:rFonts w:ascii="Times New Roman" w:hAnsi="Times New Roman" w:cs="Times New Roman"/>
                <w:b/>
                <w:bCs/>
                <w:sz w:val="28"/>
                <w:szCs w:val="28"/>
              </w:rPr>
              <w:t>ESG Pillar</w:t>
            </w:r>
            <w:r>
              <w:rPr>
                <w:rFonts w:ascii="Times New Roman" w:hAnsi="Times New Roman" w:cs="Times New Roman"/>
                <w:b/>
                <w:bCs/>
                <w:sz w:val="28"/>
                <w:szCs w:val="28"/>
              </w:rPr>
              <w:t xml:space="preserve"> </w:t>
            </w:r>
          </w:p>
        </w:tc>
        <w:tc>
          <w:tcPr>
            <w:tcW w:w="0" w:type="auto"/>
            <w:vAlign w:val="center"/>
            <w:hideMark/>
          </w:tcPr>
          <w:p w14:paraId="6B8C1A95" w14:textId="46D21036" w:rsidR="002B1C83" w:rsidRPr="002B1C83" w:rsidRDefault="002B1C83" w:rsidP="002B1C83">
            <w:pPr>
              <w:rPr>
                <w:rFonts w:ascii="Times New Roman" w:hAnsi="Times New Roman" w:cs="Times New Roman"/>
                <w:b/>
                <w:bCs/>
                <w:sz w:val="28"/>
                <w:szCs w:val="28"/>
              </w:rPr>
            </w:pPr>
            <w:r w:rsidRPr="002B1C83">
              <w:rPr>
                <w:rFonts w:ascii="Times New Roman" w:hAnsi="Times New Roman" w:cs="Times New Roman"/>
                <w:b/>
                <w:bCs/>
                <w:sz w:val="28"/>
                <w:szCs w:val="28"/>
              </w:rPr>
              <w:t xml:space="preserve">Coherence </w:t>
            </w:r>
            <w:r>
              <w:rPr>
                <w:rFonts w:ascii="Times New Roman" w:hAnsi="Times New Roman" w:cs="Times New Roman"/>
                <w:b/>
                <w:bCs/>
                <w:sz w:val="28"/>
                <w:szCs w:val="28"/>
              </w:rPr>
              <w:t xml:space="preserve">     </w:t>
            </w:r>
            <w:r w:rsidRPr="002B1C83">
              <w:rPr>
                <w:rFonts w:ascii="Times New Roman" w:hAnsi="Times New Roman" w:cs="Times New Roman"/>
                <w:b/>
                <w:bCs/>
                <w:sz w:val="28"/>
                <w:szCs w:val="28"/>
              </w:rPr>
              <w:t>Score</w:t>
            </w:r>
          </w:p>
        </w:tc>
        <w:tc>
          <w:tcPr>
            <w:tcW w:w="0" w:type="auto"/>
            <w:vAlign w:val="center"/>
            <w:hideMark/>
          </w:tcPr>
          <w:p w14:paraId="78E4A450" w14:textId="2EBCE0D1" w:rsidR="002B1C83" w:rsidRPr="002B1C83" w:rsidRDefault="002B1C83" w:rsidP="002B1C83">
            <w:pPr>
              <w:rPr>
                <w:rFonts w:ascii="Times New Roman" w:hAnsi="Times New Roman" w:cs="Times New Roman"/>
                <w:b/>
                <w:bCs/>
                <w:sz w:val="28"/>
                <w:szCs w:val="28"/>
              </w:rPr>
            </w:pPr>
            <w:r w:rsidRPr="002B1C83">
              <w:rPr>
                <w:rFonts w:ascii="Times New Roman" w:hAnsi="Times New Roman" w:cs="Times New Roman"/>
                <w:b/>
                <w:bCs/>
                <w:sz w:val="28"/>
                <w:szCs w:val="28"/>
              </w:rPr>
              <w:t>Interpretation</w:t>
            </w:r>
          </w:p>
        </w:tc>
      </w:tr>
      <w:tr w:rsidR="002B1C83" w:rsidRPr="002B1C83" w14:paraId="406CE7A2" w14:textId="77777777">
        <w:trPr>
          <w:tblCellSpacing w:w="15" w:type="dxa"/>
        </w:trPr>
        <w:tc>
          <w:tcPr>
            <w:tcW w:w="0" w:type="auto"/>
            <w:vAlign w:val="center"/>
            <w:hideMark/>
          </w:tcPr>
          <w:p w14:paraId="396F1C33"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E (Environmental)</w:t>
            </w:r>
          </w:p>
        </w:tc>
        <w:tc>
          <w:tcPr>
            <w:tcW w:w="0" w:type="auto"/>
            <w:vAlign w:val="center"/>
            <w:hideMark/>
          </w:tcPr>
          <w:p w14:paraId="7699910A"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0.3834</w:t>
            </w:r>
          </w:p>
        </w:tc>
        <w:tc>
          <w:tcPr>
            <w:tcW w:w="0" w:type="auto"/>
            <w:vAlign w:val="center"/>
            <w:hideMark/>
          </w:tcPr>
          <w:p w14:paraId="7C5E1587" w14:textId="512CE8D0"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sz w:val="28"/>
                <w:szCs w:val="28"/>
              </w:rPr>
              <w:t>Moderate coherence due to limited environmental content in filings.</w:t>
            </w:r>
          </w:p>
        </w:tc>
      </w:tr>
      <w:tr w:rsidR="002B1C83" w:rsidRPr="002B1C83" w14:paraId="07FDA76D" w14:textId="77777777">
        <w:trPr>
          <w:tblCellSpacing w:w="15" w:type="dxa"/>
        </w:trPr>
        <w:tc>
          <w:tcPr>
            <w:tcW w:w="0" w:type="auto"/>
            <w:vAlign w:val="center"/>
            <w:hideMark/>
          </w:tcPr>
          <w:p w14:paraId="2CFF1AFA"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S (Social)</w:t>
            </w:r>
          </w:p>
        </w:tc>
        <w:tc>
          <w:tcPr>
            <w:tcW w:w="0" w:type="auto"/>
            <w:vAlign w:val="center"/>
            <w:hideMark/>
          </w:tcPr>
          <w:p w14:paraId="51BABC97"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0.4459</w:t>
            </w:r>
          </w:p>
        </w:tc>
        <w:tc>
          <w:tcPr>
            <w:tcW w:w="0" w:type="auto"/>
            <w:vAlign w:val="center"/>
            <w:hideMark/>
          </w:tcPr>
          <w:p w14:paraId="03E1C98C" w14:textId="1B713D1E"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sz w:val="28"/>
                <w:szCs w:val="28"/>
              </w:rPr>
              <w:t>Reasonably coherent, covering consistent themes like workforce and inclusion.</w:t>
            </w:r>
          </w:p>
        </w:tc>
      </w:tr>
      <w:tr w:rsidR="002B1C83" w:rsidRPr="002B1C83" w14:paraId="41758E3D" w14:textId="77777777">
        <w:trPr>
          <w:tblCellSpacing w:w="15" w:type="dxa"/>
        </w:trPr>
        <w:tc>
          <w:tcPr>
            <w:tcW w:w="0" w:type="auto"/>
            <w:vAlign w:val="center"/>
            <w:hideMark/>
          </w:tcPr>
          <w:p w14:paraId="290CB07B"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G (Governance)</w:t>
            </w:r>
          </w:p>
        </w:tc>
        <w:tc>
          <w:tcPr>
            <w:tcW w:w="0" w:type="auto"/>
            <w:vAlign w:val="center"/>
            <w:hideMark/>
          </w:tcPr>
          <w:p w14:paraId="66DB14C8"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0.6397</w:t>
            </w:r>
          </w:p>
        </w:tc>
        <w:tc>
          <w:tcPr>
            <w:tcW w:w="0" w:type="auto"/>
            <w:vAlign w:val="center"/>
            <w:hideMark/>
          </w:tcPr>
          <w:p w14:paraId="7DB91C09" w14:textId="25A2CA60"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sz w:val="28"/>
                <w:szCs w:val="28"/>
              </w:rPr>
              <w:t>Strong coherence, reflecting structured governance disclosures.</w:t>
            </w:r>
          </w:p>
        </w:tc>
      </w:tr>
    </w:tbl>
    <w:p w14:paraId="2D162644" w14:textId="4E153DAC" w:rsidR="002B1C83" w:rsidRPr="00BD3CC1" w:rsidRDefault="002B1C83" w:rsidP="00BD3CC1">
      <w:pPr>
        <w:rPr>
          <w:rFonts w:ascii="Times New Roman" w:hAnsi="Times New Roman" w:cs="Times New Roman"/>
          <w:sz w:val="28"/>
          <w:szCs w:val="28"/>
        </w:rPr>
      </w:pPr>
    </w:p>
    <w:p w14:paraId="1836C552" w14:textId="1FD94C57" w:rsidR="00A12528" w:rsidRDefault="00A12528" w:rsidP="00BD3CC1">
      <w:pPr>
        <w:rPr>
          <w:rFonts w:ascii="Times New Roman" w:hAnsi="Times New Roman" w:cs="Times New Roman"/>
          <w:sz w:val="28"/>
          <w:szCs w:val="28"/>
        </w:rPr>
      </w:pPr>
    </w:p>
    <w:p w14:paraId="2E8F0E44" w14:textId="6258487B" w:rsidR="00526A9A" w:rsidRDefault="00526A9A" w:rsidP="00BD3CC1">
      <w:pPr>
        <w:rPr>
          <w:rFonts w:ascii="Times New Roman" w:hAnsi="Times New Roman" w:cs="Times New Roman"/>
          <w:b/>
          <w:bCs/>
          <w:sz w:val="32"/>
          <w:szCs w:val="32"/>
        </w:rPr>
      </w:pPr>
      <w:r w:rsidRPr="00526A9A">
        <w:rPr>
          <w:rFonts w:ascii="Times New Roman" w:hAnsi="Times New Roman" w:cs="Times New Roman"/>
          <w:b/>
          <w:bCs/>
          <w:sz w:val="32"/>
          <w:szCs w:val="32"/>
        </w:rPr>
        <w:t>Results</w:t>
      </w:r>
      <w:r>
        <w:rPr>
          <w:rFonts w:ascii="Times New Roman" w:hAnsi="Times New Roman" w:cs="Times New Roman"/>
          <w:b/>
          <w:bCs/>
          <w:sz w:val="32"/>
          <w:szCs w:val="32"/>
        </w:rPr>
        <w:t>:</w:t>
      </w:r>
    </w:p>
    <w:p w14:paraId="2D3045E2" w14:textId="6E52691D" w:rsidR="00526A9A" w:rsidRDefault="004F3D77" w:rsidP="00BD3CC1">
      <w:pPr>
        <w:rPr>
          <w:rFonts w:ascii="Times New Roman" w:hAnsi="Times New Roman" w:cs="Times New Roman"/>
          <w:b/>
          <w:bCs/>
          <w:sz w:val="32"/>
          <w:szCs w:val="32"/>
        </w:rPr>
      </w:pPr>
      <w:r>
        <w:rPr>
          <w:rFonts w:ascii="Times New Roman" w:hAnsi="Times New Roman" w:cs="Times New Roman"/>
          <w:b/>
          <w:noProof/>
          <w:sz w:val="32"/>
          <w:szCs w:val="32"/>
        </w:rPr>
        <w:drawing>
          <wp:anchor distT="0" distB="0" distL="114300" distR="114300" simplePos="0" relativeHeight="251662336" behindDoc="1" locked="0" layoutInCell="1" allowOverlap="1" wp14:anchorId="3FB6AED3" wp14:editId="70BCE966">
            <wp:simplePos x="0" y="0"/>
            <wp:positionH relativeFrom="margin">
              <wp:posOffset>429260</wp:posOffset>
            </wp:positionH>
            <wp:positionV relativeFrom="paragraph">
              <wp:posOffset>6350</wp:posOffset>
            </wp:positionV>
            <wp:extent cx="4817110" cy="2726636"/>
            <wp:effectExtent l="0" t="0" r="2540" b="0"/>
            <wp:wrapNone/>
            <wp:docPr id="104082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27413" name="Picture 1040827413"/>
                    <pic:cNvPicPr/>
                  </pic:nvPicPr>
                  <pic:blipFill>
                    <a:blip r:embed="rId9">
                      <a:extLst>
                        <a:ext uri="{28A0092B-C50C-407E-A947-70E740481C1C}">
                          <a14:useLocalDpi xmlns:a14="http://schemas.microsoft.com/office/drawing/2010/main" val="0"/>
                        </a:ext>
                      </a:extLst>
                    </a:blip>
                    <a:stretch>
                      <a:fillRect/>
                    </a:stretch>
                  </pic:blipFill>
                  <pic:spPr>
                    <a:xfrm>
                      <a:off x="0" y="0"/>
                      <a:ext cx="4817110" cy="2726636"/>
                    </a:xfrm>
                    <a:prstGeom prst="rect">
                      <a:avLst/>
                    </a:prstGeom>
                  </pic:spPr>
                </pic:pic>
              </a:graphicData>
            </a:graphic>
            <wp14:sizeRelH relativeFrom="margin">
              <wp14:pctWidth>0</wp14:pctWidth>
            </wp14:sizeRelH>
            <wp14:sizeRelV relativeFrom="margin">
              <wp14:pctHeight>0</wp14:pctHeight>
            </wp14:sizeRelV>
          </wp:anchor>
        </w:drawing>
      </w:r>
    </w:p>
    <w:p w14:paraId="01394D9A" w14:textId="77777777" w:rsidR="00526A9A" w:rsidRDefault="00526A9A" w:rsidP="00BD3CC1">
      <w:pPr>
        <w:rPr>
          <w:rFonts w:ascii="Times New Roman" w:hAnsi="Times New Roman" w:cs="Times New Roman"/>
          <w:b/>
          <w:bCs/>
          <w:sz w:val="32"/>
          <w:szCs w:val="32"/>
        </w:rPr>
      </w:pPr>
    </w:p>
    <w:p w14:paraId="7B073D3A" w14:textId="77777777" w:rsidR="00526A9A" w:rsidRPr="00526A9A" w:rsidRDefault="00526A9A" w:rsidP="00BD3CC1">
      <w:pPr>
        <w:rPr>
          <w:rFonts w:ascii="Times New Roman" w:hAnsi="Times New Roman" w:cs="Times New Roman"/>
          <w:b/>
          <w:bCs/>
          <w:sz w:val="32"/>
          <w:szCs w:val="32"/>
        </w:rPr>
      </w:pPr>
    </w:p>
    <w:p w14:paraId="4BA7B161" w14:textId="77777777" w:rsidR="00526A9A" w:rsidRDefault="00526A9A" w:rsidP="001E7D17">
      <w:pPr>
        <w:rPr>
          <w:rFonts w:ascii="Times New Roman" w:hAnsi="Times New Roman" w:cs="Times New Roman"/>
          <w:b/>
          <w:sz w:val="32"/>
          <w:szCs w:val="32"/>
        </w:rPr>
      </w:pPr>
    </w:p>
    <w:p w14:paraId="45D85A49" w14:textId="190EFD97" w:rsidR="00526A9A" w:rsidRDefault="00526A9A" w:rsidP="001E7D17">
      <w:pPr>
        <w:rPr>
          <w:rFonts w:ascii="Times New Roman" w:hAnsi="Times New Roman" w:cs="Times New Roman"/>
          <w:b/>
          <w:sz w:val="32"/>
          <w:szCs w:val="32"/>
        </w:rPr>
      </w:pPr>
    </w:p>
    <w:p w14:paraId="3250A3FE" w14:textId="2F1DBF7A" w:rsidR="00526A9A" w:rsidRDefault="00FB7103" w:rsidP="001E7D17">
      <w:pPr>
        <w:rPr>
          <w:rFonts w:ascii="Times New Roman" w:hAnsi="Times New Roman" w:cs="Times New Roman"/>
          <w:b/>
          <w:sz w:val="32"/>
          <w:szCs w:val="32"/>
        </w:rPr>
      </w:pPr>
      <w:r>
        <w:rPr>
          <w:rFonts w:ascii="Times New Roman" w:hAnsi="Times New Roman" w:cs="Times New Roman"/>
          <w:b/>
          <w:bCs/>
          <w:noProof/>
          <w:sz w:val="32"/>
          <w:szCs w:val="32"/>
        </w:rPr>
        <w:drawing>
          <wp:anchor distT="0" distB="0" distL="114300" distR="114300" simplePos="0" relativeHeight="251661312" behindDoc="1" locked="0" layoutInCell="1" allowOverlap="1" wp14:anchorId="6E1D7931" wp14:editId="7F74F6D6">
            <wp:simplePos x="0" y="0"/>
            <wp:positionH relativeFrom="margin">
              <wp:align>center</wp:align>
            </wp:positionH>
            <wp:positionV relativeFrom="paragraph">
              <wp:posOffset>6350</wp:posOffset>
            </wp:positionV>
            <wp:extent cx="4859588" cy="2750679"/>
            <wp:effectExtent l="0" t="0" r="0" b="0"/>
            <wp:wrapNone/>
            <wp:docPr id="1619202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2506" name="Picture 1619202506"/>
                    <pic:cNvPicPr/>
                  </pic:nvPicPr>
                  <pic:blipFill>
                    <a:blip r:embed="rId10">
                      <a:extLst>
                        <a:ext uri="{28A0092B-C50C-407E-A947-70E740481C1C}">
                          <a14:useLocalDpi xmlns:a14="http://schemas.microsoft.com/office/drawing/2010/main" val="0"/>
                        </a:ext>
                      </a:extLst>
                    </a:blip>
                    <a:stretch>
                      <a:fillRect/>
                    </a:stretch>
                  </pic:blipFill>
                  <pic:spPr>
                    <a:xfrm>
                      <a:off x="0" y="0"/>
                      <a:ext cx="4859588" cy="2750679"/>
                    </a:xfrm>
                    <a:prstGeom prst="rect">
                      <a:avLst/>
                    </a:prstGeom>
                  </pic:spPr>
                </pic:pic>
              </a:graphicData>
            </a:graphic>
            <wp14:sizeRelH relativeFrom="margin">
              <wp14:pctWidth>0</wp14:pctWidth>
            </wp14:sizeRelH>
            <wp14:sizeRelV relativeFrom="margin">
              <wp14:pctHeight>0</wp14:pctHeight>
            </wp14:sizeRelV>
          </wp:anchor>
        </w:drawing>
      </w:r>
    </w:p>
    <w:p w14:paraId="08AFB460" w14:textId="77777777" w:rsidR="00FB7103" w:rsidRDefault="00FB7103" w:rsidP="001E7D17">
      <w:pPr>
        <w:rPr>
          <w:rFonts w:ascii="Times New Roman" w:hAnsi="Times New Roman" w:cs="Times New Roman"/>
          <w:b/>
          <w:sz w:val="32"/>
          <w:szCs w:val="32"/>
        </w:rPr>
      </w:pPr>
    </w:p>
    <w:p w14:paraId="4CE2D954" w14:textId="77777777" w:rsidR="00FB7103" w:rsidRDefault="00FB7103" w:rsidP="001E7D17">
      <w:pPr>
        <w:rPr>
          <w:rFonts w:ascii="Times New Roman" w:hAnsi="Times New Roman" w:cs="Times New Roman"/>
          <w:b/>
          <w:sz w:val="32"/>
          <w:szCs w:val="32"/>
        </w:rPr>
      </w:pPr>
    </w:p>
    <w:p w14:paraId="77AE7839" w14:textId="77777777" w:rsidR="00FB7103" w:rsidRDefault="00FB7103" w:rsidP="001E7D17">
      <w:pPr>
        <w:rPr>
          <w:rFonts w:ascii="Times New Roman" w:hAnsi="Times New Roman" w:cs="Times New Roman"/>
          <w:b/>
          <w:sz w:val="32"/>
          <w:szCs w:val="32"/>
        </w:rPr>
      </w:pPr>
    </w:p>
    <w:p w14:paraId="6F55E187" w14:textId="23A8CF8B" w:rsidR="00FB7103" w:rsidRDefault="00FB7103" w:rsidP="001E7D17">
      <w:pPr>
        <w:rPr>
          <w:rFonts w:ascii="Times New Roman" w:hAnsi="Times New Roman" w:cs="Times New Roman"/>
          <w:b/>
          <w:sz w:val="32"/>
          <w:szCs w:val="32"/>
        </w:rPr>
      </w:pPr>
    </w:p>
    <w:p w14:paraId="162D525C" w14:textId="1D16DF22" w:rsidR="00FB7103" w:rsidRDefault="00FB7103" w:rsidP="001E7D17">
      <w:pPr>
        <w:rPr>
          <w:rFonts w:ascii="Times New Roman" w:hAnsi="Times New Roman" w:cs="Times New Roman"/>
          <w:b/>
          <w:sz w:val="32"/>
          <w:szCs w:val="32"/>
        </w:rPr>
      </w:pPr>
    </w:p>
    <w:p w14:paraId="7107C3B2" w14:textId="6556CC72" w:rsidR="00FB7103" w:rsidRDefault="00FB7103" w:rsidP="001E7D17">
      <w:pPr>
        <w:rPr>
          <w:rFonts w:ascii="Times New Roman" w:hAnsi="Times New Roman" w:cs="Times New Roman"/>
          <w:b/>
          <w:sz w:val="32"/>
          <w:szCs w:val="32"/>
        </w:rPr>
      </w:pPr>
    </w:p>
    <w:p w14:paraId="51D89CB6" w14:textId="3F93DB44" w:rsidR="00FB7103" w:rsidRDefault="001C5D29" w:rsidP="001E7D17">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3360" behindDoc="1" locked="0" layoutInCell="1" allowOverlap="1" wp14:anchorId="4267CBFE" wp14:editId="549D33DE">
            <wp:simplePos x="0" y="0"/>
            <wp:positionH relativeFrom="margin">
              <wp:align>center</wp:align>
            </wp:positionH>
            <wp:positionV relativeFrom="paragraph">
              <wp:posOffset>438785</wp:posOffset>
            </wp:positionV>
            <wp:extent cx="7258050" cy="2019162"/>
            <wp:effectExtent l="0" t="0" r="0" b="635"/>
            <wp:wrapNone/>
            <wp:docPr id="1734110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10191" name="Picture 1734110191"/>
                    <pic:cNvPicPr/>
                  </pic:nvPicPr>
                  <pic:blipFill>
                    <a:blip r:embed="rId11">
                      <a:extLst>
                        <a:ext uri="{28A0092B-C50C-407E-A947-70E740481C1C}">
                          <a14:useLocalDpi xmlns:a14="http://schemas.microsoft.com/office/drawing/2010/main" val="0"/>
                        </a:ext>
                      </a:extLst>
                    </a:blip>
                    <a:stretch>
                      <a:fillRect/>
                    </a:stretch>
                  </pic:blipFill>
                  <pic:spPr>
                    <a:xfrm>
                      <a:off x="0" y="0"/>
                      <a:ext cx="7258050" cy="2019162"/>
                    </a:xfrm>
                    <a:prstGeom prst="rect">
                      <a:avLst/>
                    </a:prstGeom>
                  </pic:spPr>
                </pic:pic>
              </a:graphicData>
            </a:graphic>
            <wp14:sizeRelH relativeFrom="margin">
              <wp14:pctWidth>0</wp14:pctWidth>
            </wp14:sizeRelH>
            <wp14:sizeRelV relativeFrom="margin">
              <wp14:pctHeight>0</wp14:pctHeight>
            </wp14:sizeRelV>
          </wp:anchor>
        </w:drawing>
      </w:r>
    </w:p>
    <w:p w14:paraId="7E4CF6CE" w14:textId="4B159965" w:rsidR="00FB7103" w:rsidRDefault="00FB7103" w:rsidP="001E7D17">
      <w:pPr>
        <w:rPr>
          <w:rFonts w:ascii="Times New Roman" w:hAnsi="Times New Roman" w:cs="Times New Roman"/>
          <w:b/>
          <w:sz w:val="32"/>
          <w:szCs w:val="32"/>
        </w:rPr>
      </w:pPr>
    </w:p>
    <w:p w14:paraId="0099D79D" w14:textId="3375E1D5" w:rsidR="00FB7103" w:rsidRDefault="00FB7103" w:rsidP="001E7D17">
      <w:pPr>
        <w:rPr>
          <w:rFonts w:ascii="Times New Roman" w:hAnsi="Times New Roman" w:cs="Times New Roman"/>
          <w:b/>
          <w:sz w:val="32"/>
          <w:szCs w:val="32"/>
        </w:rPr>
      </w:pPr>
    </w:p>
    <w:p w14:paraId="4A3CD8DD" w14:textId="71633134" w:rsidR="00FB7103" w:rsidRDefault="00FB7103" w:rsidP="001E7D17">
      <w:pPr>
        <w:rPr>
          <w:rFonts w:ascii="Times New Roman" w:hAnsi="Times New Roman" w:cs="Times New Roman"/>
          <w:b/>
          <w:sz w:val="32"/>
          <w:szCs w:val="32"/>
        </w:rPr>
      </w:pPr>
    </w:p>
    <w:p w14:paraId="2907D1E3" w14:textId="23C2C902" w:rsidR="00FB7103" w:rsidRDefault="00FB7103" w:rsidP="001E7D17">
      <w:pPr>
        <w:rPr>
          <w:rFonts w:ascii="Times New Roman" w:hAnsi="Times New Roman" w:cs="Times New Roman"/>
          <w:b/>
          <w:sz w:val="32"/>
          <w:szCs w:val="32"/>
        </w:rPr>
      </w:pPr>
    </w:p>
    <w:p w14:paraId="5BB13EF0" w14:textId="38097461" w:rsidR="00FB7103" w:rsidRDefault="00FB7103" w:rsidP="001E7D17">
      <w:pPr>
        <w:rPr>
          <w:rFonts w:ascii="Times New Roman" w:hAnsi="Times New Roman" w:cs="Times New Roman"/>
          <w:b/>
          <w:sz w:val="32"/>
          <w:szCs w:val="32"/>
        </w:rPr>
      </w:pPr>
    </w:p>
    <w:p w14:paraId="574C275E" w14:textId="21A43995" w:rsidR="00FB7103" w:rsidRDefault="003034C1" w:rsidP="001E7D17">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4384" behindDoc="1" locked="0" layoutInCell="1" allowOverlap="1" wp14:anchorId="69555C89" wp14:editId="5E4F4631">
            <wp:simplePos x="0" y="0"/>
            <wp:positionH relativeFrom="margin">
              <wp:align>center</wp:align>
            </wp:positionH>
            <wp:positionV relativeFrom="paragraph">
              <wp:posOffset>456911</wp:posOffset>
            </wp:positionV>
            <wp:extent cx="7308273" cy="2924605"/>
            <wp:effectExtent l="0" t="0" r="6985" b="9525"/>
            <wp:wrapNone/>
            <wp:docPr id="1652723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3281" name="Picture 1652723281"/>
                    <pic:cNvPicPr/>
                  </pic:nvPicPr>
                  <pic:blipFill>
                    <a:blip r:embed="rId12">
                      <a:extLst>
                        <a:ext uri="{28A0092B-C50C-407E-A947-70E740481C1C}">
                          <a14:useLocalDpi xmlns:a14="http://schemas.microsoft.com/office/drawing/2010/main" val="0"/>
                        </a:ext>
                      </a:extLst>
                    </a:blip>
                    <a:stretch>
                      <a:fillRect/>
                    </a:stretch>
                  </pic:blipFill>
                  <pic:spPr>
                    <a:xfrm>
                      <a:off x="0" y="0"/>
                      <a:ext cx="7308273" cy="2924605"/>
                    </a:xfrm>
                    <a:prstGeom prst="rect">
                      <a:avLst/>
                    </a:prstGeom>
                  </pic:spPr>
                </pic:pic>
              </a:graphicData>
            </a:graphic>
            <wp14:sizeRelH relativeFrom="margin">
              <wp14:pctWidth>0</wp14:pctWidth>
            </wp14:sizeRelH>
            <wp14:sizeRelV relativeFrom="margin">
              <wp14:pctHeight>0</wp14:pctHeight>
            </wp14:sizeRelV>
          </wp:anchor>
        </w:drawing>
      </w:r>
    </w:p>
    <w:p w14:paraId="50FCA2B8" w14:textId="534BE530" w:rsidR="00FB7103" w:rsidRDefault="00FB7103" w:rsidP="001E7D17">
      <w:pPr>
        <w:rPr>
          <w:rFonts w:ascii="Times New Roman" w:hAnsi="Times New Roman" w:cs="Times New Roman"/>
          <w:b/>
          <w:sz w:val="32"/>
          <w:szCs w:val="32"/>
        </w:rPr>
      </w:pPr>
    </w:p>
    <w:p w14:paraId="709FBB92" w14:textId="1F59EDF9" w:rsidR="00FB7103" w:rsidRDefault="00FB7103" w:rsidP="001E7D17">
      <w:pPr>
        <w:rPr>
          <w:rFonts w:ascii="Times New Roman" w:hAnsi="Times New Roman" w:cs="Times New Roman"/>
          <w:b/>
          <w:sz w:val="32"/>
          <w:szCs w:val="32"/>
        </w:rPr>
      </w:pPr>
    </w:p>
    <w:p w14:paraId="032DB173" w14:textId="77777777" w:rsidR="00FB7103" w:rsidRDefault="00FB7103" w:rsidP="001E7D17">
      <w:pPr>
        <w:rPr>
          <w:rFonts w:ascii="Times New Roman" w:hAnsi="Times New Roman" w:cs="Times New Roman"/>
          <w:b/>
          <w:sz w:val="32"/>
          <w:szCs w:val="32"/>
        </w:rPr>
      </w:pPr>
    </w:p>
    <w:p w14:paraId="2CEC9E98" w14:textId="77777777" w:rsidR="00FB7103" w:rsidRDefault="00FB7103" w:rsidP="001E7D17">
      <w:pPr>
        <w:rPr>
          <w:rFonts w:ascii="Times New Roman" w:hAnsi="Times New Roman" w:cs="Times New Roman"/>
          <w:b/>
          <w:sz w:val="32"/>
          <w:szCs w:val="32"/>
        </w:rPr>
      </w:pPr>
    </w:p>
    <w:p w14:paraId="18D5C5D7" w14:textId="77777777" w:rsidR="00FB7103" w:rsidRDefault="00FB7103" w:rsidP="001E7D17">
      <w:pPr>
        <w:rPr>
          <w:rFonts w:ascii="Times New Roman" w:hAnsi="Times New Roman" w:cs="Times New Roman"/>
          <w:b/>
          <w:sz w:val="32"/>
          <w:szCs w:val="32"/>
        </w:rPr>
      </w:pPr>
    </w:p>
    <w:p w14:paraId="7410912E" w14:textId="77777777" w:rsidR="00FB7103" w:rsidRDefault="00FB7103" w:rsidP="001E7D17">
      <w:pPr>
        <w:rPr>
          <w:rFonts w:ascii="Times New Roman" w:hAnsi="Times New Roman" w:cs="Times New Roman"/>
          <w:b/>
          <w:sz w:val="32"/>
          <w:szCs w:val="32"/>
        </w:rPr>
      </w:pPr>
    </w:p>
    <w:p w14:paraId="6E81C4A6" w14:textId="77777777" w:rsidR="00FB7103" w:rsidRDefault="00FB7103" w:rsidP="001E7D17">
      <w:pPr>
        <w:rPr>
          <w:rFonts w:ascii="Times New Roman" w:hAnsi="Times New Roman" w:cs="Times New Roman"/>
          <w:b/>
          <w:sz w:val="32"/>
          <w:szCs w:val="32"/>
        </w:rPr>
      </w:pPr>
    </w:p>
    <w:p w14:paraId="62B14874" w14:textId="77777777" w:rsidR="00FB7103" w:rsidRDefault="00FB7103" w:rsidP="001E7D17">
      <w:pPr>
        <w:rPr>
          <w:rFonts w:ascii="Times New Roman" w:hAnsi="Times New Roman" w:cs="Times New Roman"/>
          <w:b/>
          <w:sz w:val="32"/>
          <w:szCs w:val="32"/>
        </w:rPr>
      </w:pPr>
    </w:p>
    <w:p w14:paraId="0DDB5139" w14:textId="77777777" w:rsidR="00FB7103" w:rsidRDefault="00FB7103" w:rsidP="001E7D17">
      <w:pPr>
        <w:rPr>
          <w:rFonts w:ascii="Times New Roman" w:hAnsi="Times New Roman" w:cs="Times New Roman"/>
          <w:b/>
          <w:sz w:val="32"/>
          <w:szCs w:val="32"/>
        </w:rPr>
      </w:pPr>
    </w:p>
    <w:p w14:paraId="2BE5F0C0" w14:textId="77777777" w:rsidR="00FB7103" w:rsidRDefault="00FB7103" w:rsidP="001E7D17">
      <w:pPr>
        <w:rPr>
          <w:rFonts w:ascii="Times New Roman" w:hAnsi="Times New Roman" w:cs="Times New Roman"/>
          <w:b/>
          <w:sz w:val="32"/>
          <w:szCs w:val="32"/>
        </w:rPr>
      </w:pPr>
    </w:p>
    <w:p w14:paraId="04B71DA5" w14:textId="743EE50C" w:rsidR="001E7D17" w:rsidRPr="001E7D17" w:rsidRDefault="001E7D17" w:rsidP="001E7D17">
      <w:pPr>
        <w:rPr>
          <w:rFonts w:ascii="Times New Roman" w:hAnsi="Times New Roman" w:cs="Times New Roman"/>
          <w:b/>
          <w:sz w:val="32"/>
          <w:szCs w:val="32"/>
        </w:rPr>
      </w:pPr>
      <w:r w:rsidRPr="001E7D17">
        <w:rPr>
          <w:rFonts w:ascii="Times New Roman" w:hAnsi="Times New Roman" w:cs="Times New Roman"/>
          <w:b/>
          <w:sz w:val="32"/>
          <w:szCs w:val="32"/>
        </w:rPr>
        <w:t>References</w:t>
      </w:r>
      <w:r>
        <w:rPr>
          <w:rFonts w:ascii="Times New Roman" w:hAnsi="Times New Roman" w:cs="Times New Roman"/>
          <w:b/>
          <w:sz w:val="32"/>
          <w:szCs w:val="32"/>
        </w:rPr>
        <w:t>:</w:t>
      </w:r>
    </w:p>
    <w:p w14:paraId="7D72F7C8" w14:textId="5483D082" w:rsidR="007147DC" w:rsidRPr="002F3B9D" w:rsidRDefault="007147DC" w:rsidP="007147DC">
      <w:pPr>
        <w:rPr>
          <w:rFonts w:ascii="Times New Roman" w:hAnsi="Times New Roman" w:cs="Times New Roman"/>
        </w:rPr>
      </w:pPr>
      <w:r w:rsidRPr="002F3B9D">
        <w:rPr>
          <w:rFonts w:ascii="Times New Roman" w:hAnsi="Times New Roman" w:cs="Times New Roman"/>
        </w:rPr>
        <w:t>1. Loughran, T. &amp; McDonald, B. (2021). Measuring Textual Disclosure of Sustainability and CSR in 10-K Filings. Journal of Accounting Research.</w:t>
      </w:r>
    </w:p>
    <w:p w14:paraId="52EDBF08" w14:textId="226800E9" w:rsidR="007147DC" w:rsidRPr="002F3B9D" w:rsidRDefault="007147DC" w:rsidP="007147DC">
      <w:pPr>
        <w:rPr>
          <w:rFonts w:ascii="Times New Roman" w:hAnsi="Times New Roman" w:cs="Times New Roman"/>
        </w:rPr>
      </w:pPr>
      <w:r w:rsidRPr="002F3B9D">
        <w:rPr>
          <w:rFonts w:ascii="Times New Roman" w:hAnsi="Times New Roman" w:cs="Times New Roman"/>
          <w:lang w:val="de-DE"/>
        </w:rPr>
        <w:t xml:space="preserve">2. Li, Y., Chen, H., &amp; Wang, Q. (2023). </w:t>
      </w:r>
      <w:r w:rsidRPr="002F3B9D">
        <w:rPr>
          <w:rFonts w:ascii="Times New Roman" w:hAnsi="Times New Roman" w:cs="Times New Roman"/>
        </w:rPr>
        <w:t xml:space="preserve">ESG Disclosures in U.S. Public Filings: An Empirical Text Analysis. SSRN Preprint. </w:t>
      </w:r>
      <w:hyperlink r:id="rId13" w:history="1">
        <w:r w:rsidRPr="002F3B9D">
          <w:rPr>
            <w:rStyle w:val="Hyperlink"/>
            <w:rFonts w:ascii="Times New Roman" w:hAnsi="Times New Roman" w:cs="Times New Roman"/>
          </w:rPr>
          <w:t>https://ssrn.com/abstract/4402165</w:t>
        </w:r>
      </w:hyperlink>
    </w:p>
    <w:p w14:paraId="0DD40013" w14:textId="0DF1BC37" w:rsidR="00A12528" w:rsidRPr="002F3B9D" w:rsidRDefault="000F627E" w:rsidP="007147DC">
      <w:pPr>
        <w:rPr>
          <w:rFonts w:ascii="Times New Roman" w:hAnsi="Times New Roman" w:cs="Times New Roman"/>
        </w:rPr>
      </w:pPr>
      <w:r w:rsidRPr="002F3B9D">
        <w:rPr>
          <w:rFonts w:ascii="Times New Roman" w:hAnsi="Times New Roman" w:cs="Times New Roman"/>
        </w:rPr>
        <w:t>3.</w:t>
      </w:r>
      <w:r w:rsidR="007147DC" w:rsidRPr="002F3B9D">
        <w:rPr>
          <w:rFonts w:ascii="Times New Roman" w:hAnsi="Times New Roman" w:cs="Times New Roman"/>
        </w:rPr>
        <w:t>Yu, J. &amp; Zhang, L. (2022). Quantifying ESG Reporting in Corporate Annual Filings. Sustainability Accounting Journal, 11 (3), 45-60.</w:t>
      </w:r>
    </w:p>
    <w:p w14:paraId="21C193D2" w14:textId="77777777" w:rsidR="003A311F" w:rsidRDefault="003A311F" w:rsidP="007147DC">
      <w:pPr>
        <w:rPr>
          <w:rFonts w:ascii="Times New Roman" w:hAnsi="Times New Roman" w:cs="Times New Roman"/>
          <w:sz w:val="28"/>
          <w:szCs w:val="28"/>
        </w:rPr>
      </w:pPr>
    </w:p>
    <w:p w14:paraId="6FB92EAC" w14:textId="61F329CE" w:rsidR="004B56B9" w:rsidRPr="00DC4DC9" w:rsidRDefault="004B56B9" w:rsidP="003A311F">
      <w:pPr>
        <w:rPr>
          <w:rFonts w:ascii="Times New Roman" w:hAnsi="Times New Roman" w:cs="Times New Roman"/>
          <w:b/>
          <w:bCs/>
          <w:sz w:val="28"/>
          <w:szCs w:val="28"/>
        </w:rPr>
      </w:pPr>
      <w:r w:rsidRPr="00DC4DC9">
        <w:rPr>
          <w:rFonts w:ascii="Times New Roman" w:hAnsi="Times New Roman" w:cs="Times New Roman"/>
          <w:b/>
          <w:bCs/>
          <w:sz w:val="28"/>
          <w:szCs w:val="28"/>
        </w:rPr>
        <w:t>AI Tools and Assistance Disclosure</w:t>
      </w:r>
      <w:r w:rsidR="00DC4DC9">
        <w:rPr>
          <w:rFonts w:ascii="Times New Roman" w:hAnsi="Times New Roman" w:cs="Times New Roman"/>
          <w:b/>
          <w:bCs/>
          <w:sz w:val="28"/>
          <w:szCs w:val="28"/>
        </w:rPr>
        <w:t>:</w:t>
      </w:r>
    </w:p>
    <w:p w14:paraId="7B26258E" w14:textId="7057B49F" w:rsidR="003A311F" w:rsidRPr="003A311F" w:rsidRDefault="003A311F" w:rsidP="003A311F">
      <w:pPr>
        <w:rPr>
          <w:rFonts w:ascii="Times New Roman" w:hAnsi="Times New Roman" w:cs="Times New Roman"/>
          <w:sz w:val="28"/>
          <w:szCs w:val="28"/>
        </w:rPr>
      </w:pPr>
      <w:r w:rsidRPr="003A311F">
        <w:rPr>
          <w:rFonts w:ascii="Times New Roman" w:hAnsi="Times New Roman" w:cs="Times New Roman"/>
          <w:sz w:val="28"/>
          <w:szCs w:val="28"/>
        </w:rPr>
        <w:t>Some portions of this project and its related materials were refined with the assistance of artificial intelligence tools, including ChatGPT (GPT-5 by OpenAI) and Claude Sonnet (Claude 4.5 by Anthropic). These tools were used to support code refinement, language improvement, and grammatical corrections.</w:t>
      </w:r>
    </w:p>
    <w:p w14:paraId="017BA131" w14:textId="77777777" w:rsidR="003A311F" w:rsidRPr="002F3B9D" w:rsidRDefault="003A311F" w:rsidP="003A311F">
      <w:pPr>
        <w:rPr>
          <w:rFonts w:ascii="Times New Roman" w:hAnsi="Times New Roman" w:cs="Times New Roman"/>
          <w:sz w:val="28"/>
          <w:szCs w:val="28"/>
        </w:rPr>
      </w:pPr>
      <w:r w:rsidRPr="003A311F">
        <w:rPr>
          <w:rFonts w:ascii="Times New Roman" w:hAnsi="Times New Roman" w:cs="Times New Roman"/>
          <w:sz w:val="28"/>
          <w:szCs w:val="28"/>
        </w:rPr>
        <w:t>All AI-assisted outputs have been carefully reviewed, validated, and approved by the project team to ensure technical accuracy, quality, and consistency with the project’s objectives. The final responsibility for all content and results remains solely with the authors.</w:t>
      </w:r>
    </w:p>
    <w:p w14:paraId="324808F7" w14:textId="77777777" w:rsidR="00E24341" w:rsidRDefault="00E24341" w:rsidP="003A311F">
      <w:pPr>
        <w:rPr>
          <w:rFonts w:ascii="Times New Roman" w:hAnsi="Times New Roman" w:cs="Times New Roman"/>
          <w:sz w:val="28"/>
          <w:szCs w:val="28"/>
        </w:rPr>
      </w:pPr>
    </w:p>
    <w:p w14:paraId="02705021" w14:textId="77777777" w:rsidR="00E24341" w:rsidRDefault="00E24341" w:rsidP="003A311F">
      <w:pPr>
        <w:rPr>
          <w:rFonts w:ascii="Times New Roman" w:hAnsi="Times New Roman" w:cs="Times New Roman"/>
          <w:sz w:val="28"/>
          <w:szCs w:val="28"/>
        </w:rPr>
      </w:pPr>
    </w:p>
    <w:p w14:paraId="15FF13FE" w14:textId="19142742" w:rsidR="00E24341" w:rsidRDefault="00E24341" w:rsidP="003A311F">
      <w:pPr>
        <w:rPr>
          <w:rFonts w:ascii="Times New Roman" w:hAnsi="Times New Roman" w:cs="Times New Roman"/>
          <w:b/>
          <w:bCs/>
          <w:sz w:val="32"/>
          <w:szCs w:val="32"/>
        </w:rPr>
      </w:pPr>
      <w:r w:rsidRPr="00CC3E9D">
        <w:rPr>
          <w:rFonts w:ascii="Times New Roman" w:hAnsi="Times New Roman" w:cs="Times New Roman"/>
          <w:b/>
          <w:bCs/>
          <w:sz w:val="32"/>
          <w:szCs w:val="32"/>
        </w:rPr>
        <w:t>Code</w:t>
      </w:r>
      <w:r w:rsidR="00CC3E9D" w:rsidRPr="00CC3E9D">
        <w:rPr>
          <w:rFonts w:ascii="Times New Roman" w:hAnsi="Times New Roman" w:cs="Times New Roman"/>
          <w:b/>
          <w:bCs/>
          <w:sz w:val="32"/>
          <w:szCs w:val="32"/>
        </w:rPr>
        <w:t xml:space="preserve">: </w:t>
      </w:r>
    </w:p>
    <w:p w14:paraId="23927F48" w14:textId="6A05C72D" w:rsidR="002F3B9D" w:rsidRPr="00AB6CB8" w:rsidRDefault="00AB6CB8" w:rsidP="003A311F">
      <w:pPr>
        <w:rPr>
          <w:rFonts w:ascii="Times New Roman" w:hAnsi="Times New Roman" w:cs="Times New Roman"/>
          <w:sz w:val="32"/>
          <w:szCs w:val="32"/>
        </w:rPr>
      </w:pPr>
      <w:hyperlink r:id="rId14" w:history="1">
        <w:r w:rsidRPr="00AB6CB8">
          <w:rPr>
            <w:rStyle w:val="Hyperlink"/>
            <w:rFonts w:ascii="Times New Roman" w:hAnsi="Times New Roman" w:cs="Times New Roman"/>
            <w:sz w:val="32"/>
            <w:szCs w:val="32"/>
          </w:rPr>
          <w:t>https://github.com/Vikh110/Decoding-ESG-Measuring-Clarity-and-Greenwashing-in-Corporate-Disclosures</w:t>
        </w:r>
      </w:hyperlink>
    </w:p>
    <w:p w14:paraId="4970F114" w14:textId="77777777" w:rsidR="002F3B9D" w:rsidRDefault="002F3B9D" w:rsidP="003A311F">
      <w:pPr>
        <w:rPr>
          <w:rFonts w:ascii="Times New Roman" w:hAnsi="Times New Roman" w:cs="Times New Roman"/>
          <w:b/>
          <w:bCs/>
          <w:sz w:val="32"/>
          <w:szCs w:val="32"/>
        </w:rPr>
      </w:pPr>
    </w:p>
    <w:p w14:paraId="413ED769" w14:textId="77777777" w:rsidR="00AB390C" w:rsidRDefault="00AB390C" w:rsidP="000C0B33">
      <w:pPr>
        <w:rPr>
          <w:rFonts w:ascii="Times New Roman" w:hAnsi="Times New Roman" w:cs="Times New Roman"/>
          <w:b/>
          <w:bCs/>
          <w:sz w:val="32"/>
          <w:szCs w:val="32"/>
        </w:rPr>
      </w:pPr>
    </w:p>
    <w:p w14:paraId="1D38138D" w14:textId="5AF69855" w:rsidR="00A12528" w:rsidRDefault="002F3B9D" w:rsidP="000C0B33">
      <w:pPr>
        <w:rPr>
          <w:rFonts w:ascii="Times New Roman" w:hAnsi="Times New Roman" w:cs="Times New Roman"/>
          <w:b/>
          <w:bCs/>
          <w:sz w:val="32"/>
          <w:szCs w:val="32"/>
        </w:rPr>
      </w:pPr>
      <w:r>
        <w:rPr>
          <w:rFonts w:ascii="Times New Roman" w:hAnsi="Times New Roman" w:cs="Times New Roman"/>
          <w:b/>
          <w:bCs/>
          <w:sz w:val="32"/>
          <w:szCs w:val="32"/>
        </w:rPr>
        <w:t>Data:</w:t>
      </w:r>
    </w:p>
    <w:p w14:paraId="21C4C15D"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Data for this study were extracted directly from the U.S. Securities and Exchange Commission (SEC) EDGAR database using the edgar library in Python. Filings were queried by company ticker for all S&amp;P 50 firms, with the Form Type set to 10-K, ensuring a consistent and legally audited dataset.</w:t>
      </w:r>
    </w:p>
    <w:p w14:paraId="143AC85B"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For each filing, the following metadata were collected: Ticker, Filing Date, Report Date, Accession Number, and the full Report Text. The dataset covers the period 2015–2025, representing ten years of annual filings for each company.</w:t>
      </w:r>
    </w:p>
    <w:p w14:paraId="2E250E0C"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A preliminary ESG keyword flag was created to identify reports containing sustainability-related terminology. This flag was used only for validation purposes and not for filtering, ensuring the dataset remained complete and unbiased.</w:t>
      </w:r>
    </w:p>
    <w:p w14:paraId="5E98A4AB"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lastRenderedPageBreak/>
        <w:t>The resulting corpus comprises the complete 10-K texts for all S&amp;P 50 tickers, forming the foundation for subsequent Natural Language Processing (NLP), Guided Latent Dirichlet Allocation (LDA) topic modeling, and linguistic analysis.</w:t>
      </w:r>
    </w:p>
    <w:p w14:paraId="45343001" w14:textId="77777777" w:rsidR="00AB390C" w:rsidRPr="000C0B33" w:rsidRDefault="00AB390C" w:rsidP="000C0B33">
      <w:pPr>
        <w:rPr>
          <w:rFonts w:ascii="Times New Roman" w:hAnsi="Times New Roman" w:cs="Times New Roman"/>
          <w:b/>
          <w:bCs/>
          <w:sz w:val="32"/>
          <w:szCs w:val="32"/>
        </w:rPr>
      </w:pPr>
    </w:p>
    <w:sectPr w:rsidR="00AB390C" w:rsidRPr="000C0B33" w:rsidSect="0026085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1B2F7" w14:textId="77777777" w:rsidR="002066E7" w:rsidRDefault="002066E7" w:rsidP="00623C9B">
      <w:pPr>
        <w:spacing w:after="0" w:line="240" w:lineRule="auto"/>
      </w:pPr>
      <w:r>
        <w:separator/>
      </w:r>
    </w:p>
  </w:endnote>
  <w:endnote w:type="continuationSeparator" w:id="0">
    <w:p w14:paraId="083C51E4" w14:textId="77777777" w:rsidR="002066E7" w:rsidRDefault="002066E7" w:rsidP="0062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03429"/>
      <w:docPartObj>
        <w:docPartGallery w:val="Page Numbers (Bottom of Page)"/>
        <w:docPartUnique/>
      </w:docPartObj>
    </w:sdtPr>
    <w:sdtEndPr>
      <w:rPr>
        <w:noProof/>
      </w:rPr>
    </w:sdtEndPr>
    <w:sdtContent>
      <w:p w14:paraId="2BF3D1A7" w14:textId="0B8905E7" w:rsidR="00623C9B" w:rsidRDefault="00623C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DD626" w14:textId="77777777" w:rsidR="00623C9B" w:rsidRDefault="00623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7A1AF" w14:textId="77777777" w:rsidR="002066E7" w:rsidRDefault="002066E7" w:rsidP="00623C9B">
      <w:pPr>
        <w:spacing w:after="0" w:line="240" w:lineRule="auto"/>
      </w:pPr>
      <w:r>
        <w:separator/>
      </w:r>
    </w:p>
  </w:footnote>
  <w:footnote w:type="continuationSeparator" w:id="0">
    <w:p w14:paraId="76DF3814" w14:textId="77777777" w:rsidR="002066E7" w:rsidRDefault="002066E7" w:rsidP="0062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8956F" w14:textId="77777777" w:rsidR="00A12528" w:rsidRDefault="00A12528">
    <w:pPr>
      <w:pStyle w:val="Header"/>
      <w:jc w:val="right"/>
    </w:pPr>
  </w:p>
  <w:p w14:paraId="6D197FA4" w14:textId="77777777" w:rsidR="00A12528" w:rsidRDefault="00A12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0D40"/>
    <w:multiLevelType w:val="multilevel"/>
    <w:tmpl w:val="E358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B07D2"/>
    <w:multiLevelType w:val="hybridMultilevel"/>
    <w:tmpl w:val="ABF099D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892875">
    <w:abstractNumId w:val="0"/>
  </w:num>
  <w:num w:numId="2" w16cid:durableId="180272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28"/>
    <w:rsid w:val="0007223A"/>
    <w:rsid w:val="000C0B33"/>
    <w:rsid w:val="000D549B"/>
    <w:rsid w:val="000F627E"/>
    <w:rsid w:val="0018213D"/>
    <w:rsid w:val="001C5D29"/>
    <w:rsid w:val="001E7D17"/>
    <w:rsid w:val="002066E7"/>
    <w:rsid w:val="0026085E"/>
    <w:rsid w:val="002B1C83"/>
    <w:rsid w:val="002F3B9D"/>
    <w:rsid w:val="003034C1"/>
    <w:rsid w:val="00374C42"/>
    <w:rsid w:val="003A311F"/>
    <w:rsid w:val="004235B9"/>
    <w:rsid w:val="00490826"/>
    <w:rsid w:val="004B56B9"/>
    <w:rsid w:val="004C0EAE"/>
    <w:rsid w:val="004D24F4"/>
    <w:rsid w:val="004F3D77"/>
    <w:rsid w:val="00526A9A"/>
    <w:rsid w:val="00583E7E"/>
    <w:rsid w:val="00587624"/>
    <w:rsid w:val="00603D1F"/>
    <w:rsid w:val="00623C9B"/>
    <w:rsid w:val="007147DC"/>
    <w:rsid w:val="00774817"/>
    <w:rsid w:val="00810792"/>
    <w:rsid w:val="008435C3"/>
    <w:rsid w:val="00855CE3"/>
    <w:rsid w:val="00873D56"/>
    <w:rsid w:val="008D4102"/>
    <w:rsid w:val="00927B22"/>
    <w:rsid w:val="009937F5"/>
    <w:rsid w:val="00A12528"/>
    <w:rsid w:val="00A239C2"/>
    <w:rsid w:val="00A621EB"/>
    <w:rsid w:val="00AB390C"/>
    <w:rsid w:val="00AB6CB8"/>
    <w:rsid w:val="00AC71E1"/>
    <w:rsid w:val="00BD3CC1"/>
    <w:rsid w:val="00C116CB"/>
    <w:rsid w:val="00CC34E1"/>
    <w:rsid w:val="00CC3E9D"/>
    <w:rsid w:val="00CC5189"/>
    <w:rsid w:val="00D7526C"/>
    <w:rsid w:val="00DC4DC9"/>
    <w:rsid w:val="00E24341"/>
    <w:rsid w:val="00E4692F"/>
    <w:rsid w:val="00EB4C30"/>
    <w:rsid w:val="00FB710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42D59"/>
  <w15:chartTrackingRefBased/>
  <w15:docId w15:val="{C53D104A-23C4-4B4D-A12D-586F22EF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2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2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528"/>
    <w:rPr>
      <w:rFonts w:eastAsiaTheme="majorEastAsia" w:cstheme="majorBidi"/>
      <w:color w:val="272727" w:themeColor="text1" w:themeTint="D8"/>
    </w:rPr>
  </w:style>
  <w:style w:type="paragraph" w:styleId="Title">
    <w:name w:val="Title"/>
    <w:basedOn w:val="Normal"/>
    <w:next w:val="Normal"/>
    <w:link w:val="TitleChar"/>
    <w:uiPriority w:val="10"/>
    <w:qFormat/>
    <w:rsid w:val="00A12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528"/>
    <w:pPr>
      <w:spacing w:before="160"/>
      <w:jc w:val="center"/>
    </w:pPr>
    <w:rPr>
      <w:i/>
      <w:iCs/>
      <w:color w:val="404040" w:themeColor="text1" w:themeTint="BF"/>
    </w:rPr>
  </w:style>
  <w:style w:type="character" w:customStyle="1" w:styleId="QuoteChar">
    <w:name w:val="Quote Char"/>
    <w:basedOn w:val="DefaultParagraphFont"/>
    <w:link w:val="Quote"/>
    <w:uiPriority w:val="29"/>
    <w:rsid w:val="00A12528"/>
    <w:rPr>
      <w:i/>
      <w:iCs/>
      <w:color w:val="404040" w:themeColor="text1" w:themeTint="BF"/>
    </w:rPr>
  </w:style>
  <w:style w:type="paragraph" w:styleId="ListParagraph">
    <w:name w:val="List Paragraph"/>
    <w:basedOn w:val="Normal"/>
    <w:uiPriority w:val="34"/>
    <w:qFormat/>
    <w:rsid w:val="00A12528"/>
    <w:pPr>
      <w:ind w:left="720"/>
      <w:contextualSpacing/>
    </w:pPr>
  </w:style>
  <w:style w:type="character" w:styleId="IntenseEmphasis">
    <w:name w:val="Intense Emphasis"/>
    <w:basedOn w:val="DefaultParagraphFont"/>
    <w:uiPriority w:val="21"/>
    <w:qFormat/>
    <w:rsid w:val="00A12528"/>
    <w:rPr>
      <w:i/>
      <w:iCs/>
      <w:color w:val="2F5496" w:themeColor="accent1" w:themeShade="BF"/>
    </w:rPr>
  </w:style>
  <w:style w:type="paragraph" w:styleId="IntenseQuote">
    <w:name w:val="Intense Quote"/>
    <w:basedOn w:val="Normal"/>
    <w:next w:val="Normal"/>
    <w:link w:val="IntenseQuoteChar"/>
    <w:uiPriority w:val="30"/>
    <w:qFormat/>
    <w:rsid w:val="00A12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528"/>
    <w:rPr>
      <w:i/>
      <w:iCs/>
      <w:color w:val="2F5496" w:themeColor="accent1" w:themeShade="BF"/>
    </w:rPr>
  </w:style>
  <w:style w:type="character" w:styleId="IntenseReference">
    <w:name w:val="Intense Reference"/>
    <w:basedOn w:val="DefaultParagraphFont"/>
    <w:uiPriority w:val="32"/>
    <w:qFormat/>
    <w:rsid w:val="00A12528"/>
    <w:rPr>
      <w:b/>
      <w:bCs/>
      <w:smallCaps/>
      <w:color w:val="2F5496" w:themeColor="accent1" w:themeShade="BF"/>
      <w:spacing w:val="5"/>
    </w:rPr>
  </w:style>
  <w:style w:type="paragraph" w:styleId="Header">
    <w:name w:val="header"/>
    <w:basedOn w:val="Normal"/>
    <w:link w:val="HeaderChar"/>
    <w:uiPriority w:val="99"/>
    <w:unhideWhenUsed/>
    <w:rsid w:val="00A12528"/>
    <w:pPr>
      <w:tabs>
        <w:tab w:val="center" w:pos="4680"/>
        <w:tab w:val="right" w:pos="9360"/>
      </w:tabs>
      <w:spacing w:after="0" w:line="240" w:lineRule="auto"/>
    </w:pPr>
    <w:rPr>
      <w:kern w:val="0"/>
      <w:sz w:val="22"/>
      <w:szCs w:val="22"/>
    </w:rPr>
  </w:style>
  <w:style w:type="character" w:customStyle="1" w:styleId="HeaderChar">
    <w:name w:val="Header Char"/>
    <w:basedOn w:val="DefaultParagraphFont"/>
    <w:link w:val="Header"/>
    <w:uiPriority w:val="99"/>
    <w:rsid w:val="00A12528"/>
    <w:rPr>
      <w:kern w:val="0"/>
      <w:sz w:val="22"/>
      <w:szCs w:val="22"/>
    </w:rPr>
  </w:style>
  <w:style w:type="paragraph" w:styleId="Caption">
    <w:name w:val="caption"/>
    <w:basedOn w:val="Normal"/>
    <w:next w:val="Normal"/>
    <w:uiPriority w:val="35"/>
    <w:unhideWhenUsed/>
    <w:qFormat/>
    <w:rsid w:val="004D24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147DC"/>
    <w:rPr>
      <w:color w:val="0563C1" w:themeColor="hyperlink"/>
      <w:u w:val="single"/>
    </w:rPr>
  </w:style>
  <w:style w:type="character" w:styleId="UnresolvedMention">
    <w:name w:val="Unresolved Mention"/>
    <w:basedOn w:val="DefaultParagraphFont"/>
    <w:uiPriority w:val="99"/>
    <w:semiHidden/>
    <w:unhideWhenUsed/>
    <w:rsid w:val="007147DC"/>
    <w:rPr>
      <w:color w:val="605E5C"/>
      <w:shd w:val="clear" w:color="auto" w:fill="E1DFDD"/>
    </w:rPr>
  </w:style>
  <w:style w:type="paragraph" w:styleId="Footer">
    <w:name w:val="footer"/>
    <w:basedOn w:val="Normal"/>
    <w:link w:val="FooterChar"/>
    <w:uiPriority w:val="99"/>
    <w:unhideWhenUsed/>
    <w:rsid w:val="0062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srn.com/abstract/44021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ikh110/Decoding-ESG-Measuring-Clarity-and-Greenwashing-in-Corporate-Dis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Khandelwal</dc:creator>
  <cp:keywords/>
  <dc:description/>
  <cp:lastModifiedBy>Vishwas Khandelwal</cp:lastModifiedBy>
  <cp:revision>2</cp:revision>
  <cp:lastPrinted>2025-10-29T18:30:00Z</cp:lastPrinted>
  <dcterms:created xsi:type="dcterms:W3CDTF">2025-10-29T18:36:00Z</dcterms:created>
  <dcterms:modified xsi:type="dcterms:W3CDTF">2025-10-29T18:36:00Z</dcterms:modified>
</cp:coreProperties>
</file>