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515" w14:textId="77777777" w:rsidR="00103846" w:rsidRDefault="00000000">
      <w:pPr>
        <w:spacing w:after="200"/>
        <w:jc w:val="center"/>
      </w:pPr>
      <w:r>
        <w:rPr>
          <w:sz w:val="48"/>
          <w:szCs w:val="48"/>
        </w:rPr>
        <w:t>Beyond Demographics: Engagement, Product Depth, and Relationship Strength as Drivers of Retail Banking Customer Retention</w:t>
      </w:r>
    </w:p>
    <w:p w14:paraId="619D84B3" w14:textId="71B0DE77" w:rsidR="00103846" w:rsidRPr="00462076" w:rsidRDefault="006C14DF">
      <w:pPr>
        <w:spacing w:after="20"/>
        <w:jc w:val="center"/>
        <w:rPr>
          <w:i/>
          <w:iCs/>
          <w:sz w:val="24"/>
          <w:szCs w:val="24"/>
        </w:rPr>
      </w:pPr>
      <w:r w:rsidRPr="00462076">
        <w:rPr>
          <w:i/>
          <w:iCs/>
          <w:sz w:val="28"/>
          <w:szCs w:val="28"/>
        </w:rPr>
        <w:t>Shravani Shivajirao Ghorpade.</w:t>
      </w:r>
    </w:p>
    <w:p w14:paraId="72F8A5F5" w14:textId="6B3F97A1" w:rsidR="00103846" w:rsidRDefault="00000000">
      <w:pPr>
        <w:jc w:val="center"/>
      </w:pPr>
      <w:r>
        <w:rPr>
          <w:i/>
          <w:iCs/>
        </w:rPr>
        <w:t xml:space="preserve">Dept. of </w:t>
      </w:r>
      <w:r w:rsidR="006C14DF">
        <w:rPr>
          <w:i/>
          <w:iCs/>
        </w:rPr>
        <w:t>Data Science</w:t>
      </w:r>
    </w:p>
    <w:p w14:paraId="5024E1E5" w14:textId="1F748630" w:rsidR="00103846" w:rsidRDefault="006C14DF" w:rsidP="006C14DF">
      <w:pPr>
        <w:jc w:val="center"/>
        <w:rPr>
          <w:i/>
          <w:iCs/>
        </w:rPr>
      </w:pPr>
      <w:r>
        <w:rPr>
          <w:i/>
          <w:iCs/>
        </w:rPr>
        <w:t>D.Y.Patil College of Engineering and Technology</w:t>
      </w:r>
    </w:p>
    <w:p w14:paraId="1CBD7DDE" w14:textId="2E3F9EE6" w:rsidR="006C14DF" w:rsidRDefault="006C14DF" w:rsidP="006C14DF">
      <w:pPr>
        <w:jc w:val="center"/>
      </w:pPr>
      <w:r>
        <w:rPr>
          <w:i/>
          <w:iCs/>
        </w:rPr>
        <w:t>Kolhapur,Maharashtra,India</w:t>
      </w:r>
    </w:p>
    <w:p w14:paraId="31FADD77" w14:textId="2BA2CA71" w:rsidR="00103846" w:rsidRDefault="004D7A90">
      <w:pPr>
        <w:spacing w:after="260"/>
        <w:jc w:val="center"/>
      </w:pPr>
      <w:r>
        <w:rPr>
          <w:i/>
          <w:iCs/>
        </w:rPr>
        <w:t>s</w:t>
      </w:r>
      <w:r w:rsidR="006C14DF">
        <w:rPr>
          <w:i/>
          <w:iCs/>
        </w:rPr>
        <w:t>hravaniig16@gmail.com</w:t>
      </w:r>
    </w:p>
    <w:p w14:paraId="000EFED1" w14:textId="77777777" w:rsidR="00103846" w:rsidRDefault="00000000">
      <w:pPr>
        <w:spacing w:after="200"/>
        <w:jc w:val="both"/>
      </w:pPr>
      <w:r>
        <w:rPr>
          <w:b/>
          <w:bCs/>
          <w:i/>
          <w:iCs/>
          <w:sz w:val="18"/>
          <w:szCs w:val="18"/>
        </w:rPr>
        <w:t>Abstract—</w:t>
      </w:r>
      <w:r>
        <w:rPr>
          <w:sz w:val="18"/>
          <w:szCs w:val="18"/>
        </w:rPr>
        <w:t xml:space="preserve"> This paper quantifies the relationship between customer engagement, product ownership depth, and account churn in a retail banking context, reframing retention analysis around customer behavior and relationship strength rather than demographics alone. Using a customer-level dataset of 10,000 accounts, activity status is found to be the strongest observed correlate of retention: active members are retained at 86.2% versus 53.2% for inactive members, an Engagement Retention Ratio of 1.62x. Product depth shows a non-monotonic relationship with churn, with two-product customers churning least (19.6%) while customers holding three or more products churn substantially more (56.7%-57.3%). A segment of 556 "at-risk premium" customers -- disengaged but holding high balances and above-median income -- is identified, whose churn rate of 58.3% confirms that balance alone does not predict loyalty. A five-metric KPI framework and a logistic-regression risk model are proposed for ongoing retention monitoring and intervention targeting.</w:t>
      </w:r>
    </w:p>
    <w:p w14:paraId="5A525092" w14:textId="77777777" w:rsidR="00103846" w:rsidRDefault="00000000">
      <w:pPr>
        <w:spacing w:after="200"/>
        <w:jc w:val="both"/>
      </w:pPr>
      <w:r>
        <w:rPr>
          <w:b/>
          <w:bCs/>
          <w:i/>
          <w:iCs/>
          <w:sz w:val="18"/>
          <w:szCs w:val="18"/>
        </w:rPr>
        <w:t>Index Terms—</w:t>
      </w:r>
      <w:r>
        <w:rPr>
          <w:sz w:val="18"/>
          <w:szCs w:val="18"/>
        </w:rPr>
        <w:t xml:space="preserve"> customer churn, retention analytics, customer engagement, relationship strength, retail banking, logistic regression, cross-sell strategy</w:t>
      </w:r>
    </w:p>
    <w:p w14:paraId="22E9D72B" w14:textId="77777777" w:rsidR="00103846" w:rsidRDefault="00103846">
      <w:pPr>
        <w:sectPr w:rsidR="00103846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FF063D6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I. Introduction</w:t>
      </w:r>
    </w:p>
    <w:p w14:paraId="4432F311" w14:textId="77777777" w:rsidR="00103846" w:rsidRDefault="00000000">
      <w:pPr>
        <w:spacing w:after="60"/>
        <w:ind w:firstLine="200"/>
        <w:jc w:val="both"/>
      </w:pPr>
      <w:r>
        <w:t>Banks increasingly recognize that customer behavior and engagement, not just demographics, determine long-term retention. A customer may appear financially strong, holding a high balance or income, and still churn due to low engagement, limited product adoption, or a weak overall relationship with the institution. Understanding how customers use banking products and services is essential to designing cross-sell strategies, loyalty programs, and engagement-driven retention initiatives. This work evaluates retention through the lens of customer behavior and relationship strength rather than static demographic attributes.</w:t>
      </w:r>
    </w:p>
    <w:p w14:paraId="71A3A36C" w14:textId="77777777" w:rsidR="00103846" w:rsidRDefault="00000000">
      <w:pPr>
        <w:spacing w:after="60"/>
        <w:ind w:firstLine="200"/>
        <w:jc w:val="both"/>
      </w:pPr>
      <w:r>
        <w:t>Despite widespread collection of engagement and product-usage data, banks often lack quantitative insight into which behaviors drive retention, clarity on whether product depth reduces churn, and evidence on whether high balances alone ensure loyalty. As a result, retention strategies are frequently generic and misaligned with actual customer behavior. This paper addresses that gap directly using a customer-level analytical pipeline and an accompanying interactive dashboard.</w:t>
      </w:r>
    </w:p>
    <w:p w14:paraId="2DC154AE" w14:textId="77777777" w:rsidR="00103846" w:rsidRDefault="00000000">
      <w:pPr>
        <w:spacing w:before="140" w:after="80"/>
      </w:pPr>
      <w:r>
        <w:rPr>
          <w:b/>
          <w:bCs/>
          <w:i/>
          <w:iCs/>
        </w:rPr>
        <w:t>A. Objectives</w:t>
      </w:r>
    </w:p>
    <w:p w14:paraId="6CDA6728" w14:textId="77777777" w:rsidR="00103846" w:rsidRDefault="00000000">
      <w:pPr>
        <w:spacing w:after="60"/>
        <w:ind w:firstLine="200"/>
        <w:jc w:val="both"/>
      </w:pPr>
      <w:r>
        <w:t>The primary objectives are to (i) evaluate the relationship between engagement and churn, (ii) measure the retention impact of product count and product mix, and (iii) identify disengaged yet high-value customers before they leave. Secondary objectives are to support engagement-driven retention strategies, improve product bundling decisions, and reduce silent churn among premium customers.</w:t>
      </w:r>
    </w:p>
    <w:p w14:paraId="11B46278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II. Related Concepts</w:t>
      </w:r>
    </w:p>
    <w:p w14:paraId="50324FAA" w14:textId="77777777" w:rsidR="00103846" w:rsidRDefault="00000000">
      <w:pPr>
        <w:spacing w:after="60"/>
        <w:ind w:firstLine="200"/>
        <w:jc w:val="both"/>
      </w:pPr>
      <w:r>
        <w:t>Logistic regression remains a standard, interpretable baseline for binary churn prediction in applied settings [1], and is used here for exactly that reason: its coefficients are directly interpretable as directional churn drivers, which matters more for a decision-support tool than marginal gains in predictive accuracy from a black-box model [2]. Implementation uses the standard scikit-learn machine learning library [3]. The broader framing of relationship depth and cross-sell strategy as retention levers is consistent with established customer relationship management practice [4].</w:t>
      </w:r>
    </w:p>
    <w:p w14:paraId="3526FDD5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III. Dataset and Methodology</w:t>
      </w:r>
    </w:p>
    <w:p w14:paraId="33E49C63" w14:textId="77777777" w:rsidR="00103846" w:rsidRDefault="00000000">
      <w:pPr>
        <w:spacing w:before="140" w:after="80"/>
      </w:pPr>
      <w:r>
        <w:rPr>
          <w:b/>
          <w:bCs/>
          <w:i/>
          <w:iCs/>
        </w:rPr>
        <w:t>A. Dataset</w:t>
      </w:r>
    </w:p>
    <w:p w14:paraId="64504ACB" w14:textId="77777777" w:rsidR="00103846" w:rsidRDefault="00000000">
      <w:pPr>
        <w:spacing w:after="60"/>
        <w:ind w:firstLine="200"/>
        <w:jc w:val="both"/>
      </w:pPr>
      <w:r>
        <w:t>The analysis uses a customer-level dataset of 10,000 records spanning three geographies (France, Germany, Spain) with thirteen fields: customer and surname identifiers, credit score, geography, gender, age, tenure, account balance, number of products held, credit card ownership, activity status, estimated salary, and a binary churn indicator (Exited).</w:t>
      </w:r>
    </w:p>
    <w:p w14:paraId="77523CDD" w14:textId="77777777" w:rsidR="00103846" w:rsidRDefault="00000000">
      <w:pPr>
        <w:spacing w:after="60"/>
        <w:ind w:firstLine="200"/>
        <w:jc w:val="both"/>
      </w:pPr>
      <w:r>
        <w:rPr>
          <w:i/>
          <w:iCs/>
        </w:rPr>
        <w:t>This version of the analysis runs on a synthetic dataset constructed to match the schema and general behavioral patterns described in the project brief (activity-driven churn, a non-monotonic product-depth effect, and geography-driven variation). Figures reported here illustrate the analytical method and should be re-validated against verified production data before informing operational or supervisory decisions.</w:t>
      </w:r>
    </w:p>
    <w:p w14:paraId="28F5D270" w14:textId="77777777" w:rsidR="00103846" w:rsidRDefault="00000000">
      <w:pPr>
        <w:spacing w:before="140" w:after="80"/>
      </w:pPr>
      <w:r>
        <w:rPr>
          <w:b/>
          <w:bCs/>
          <w:i/>
          <w:iCs/>
        </w:rPr>
        <w:t>B. Data Ingestion and Validation</w:t>
      </w:r>
    </w:p>
    <w:p w14:paraId="7996D8BE" w14:textId="77777777" w:rsidR="00103846" w:rsidRDefault="00000000">
      <w:pPr>
        <w:spacing w:after="60"/>
        <w:ind w:firstLine="200"/>
        <w:jc w:val="both"/>
      </w:pPr>
      <w:r>
        <w:t xml:space="preserve">Prior to analysis, binary fields (HasCrCard, IsActiveMember, Exited) are checked for non-0/1 values and coerced, duplicate CustomerId rows are removed, and </w:t>
      </w:r>
      <w:r>
        <w:lastRenderedPageBreak/>
        <w:t>missing numeric fields are median-imputed. Churn labeling is confirmed to be binary and consistent across the record set before any downstream metric is computed.</w:t>
      </w:r>
    </w:p>
    <w:p w14:paraId="2B05EADC" w14:textId="77777777" w:rsidR="00103846" w:rsidRDefault="00000000">
      <w:pPr>
        <w:spacing w:before="140" w:after="80"/>
      </w:pPr>
      <w:r>
        <w:rPr>
          <w:b/>
          <w:bCs/>
          <w:i/>
          <w:iCs/>
        </w:rPr>
        <w:t>C. Engagement Classification</w:t>
      </w:r>
    </w:p>
    <w:p w14:paraId="1D0FBAE3" w14:textId="77777777" w:rsidR="00103846" w:rsidRDefault="00000000">
      <w:pPr>
        <w:spacing w:after="60"/>
        <w:ind w:firstLine="200"/>
        <w:jc w:val="both"/>
      </w:pPr>
      <w:r>
        <w:t>Each customer is assigned to exactly one of four mutually exclusive engagement profiles, evaluated in priority order: (1) Inactive High-Balance -- inactive with balance in the top quartile, the primary silent-churn flag; (2) Inactive Disengaged -- inactive, balance below that threshold; (3) Active Low-Product -- active with exactly one product; (4) Active Engaged -- active with two or more products.</w:t>
      </w:r>
    </w:p>
    <w:p w14:paraId="7F815C72" w14:textId="77777777" w:rsidR="00103846" w:rsidRDefault="00000000">
      <w:pPr>
        <w:spacing w:before="140" w:after="80"/>
      </w:pPr>
      <w:r>
        <w:rPr>
          <w:b/>
          <w:bCs/>
          <w:i/>
          <w:iCs/>
        </w:rPr>
        <w:t>D. Relationship Strength Index</w:t>
      </w:r>
    </w:p>
    <w:p w14:paraId="20C47448" w14:textId="77777777" w:rsidR="00103846" w:rsidRDefault="00000000">
      <w:pPr>
        <w:spacing w:after="60"/>
        <w:ind w:firstLine="200"/>
        <w:jc w:val="both"/>
      </w:pPr>
      <w:r>
        <w:t>A composite 0-100 score blends four weighted components: activity status (40%), product depth capped at two products (30%), tenure capped at ten years (20%), and credit card ownership (10%). Customers are grouped into Low / Medium / High / Very High tiers using fixed 25-point bands, operationalizing the "sticky customer" concept used throughout this analysis.</w:t>
      </w:r>
    </w:p>
    <w:p w14:paraId="2BADB32B" w14:textId="77777777" w:rsidR="00103846" w:rsidRDefault="00000000">
      <w:pPr>
        <w:spacing w:before="140" w:after="80"/>
      </w:pPr>
      <w:r>
        <w:rPr>
          <w:b/>
          <w:bCs/>
          <w:i/>
          <w:iCs/>
        </w:rPr>
        <w:t>E. Risk Model</w:t>
      </w:r>
    </w:p>
    <w:p w14:paraId="41BF3743" w14:textId="77777777" w:rsidR="00103846" w:rsidRDefault="00000000">
      <w:pPr>
        <w:spacing w:after="60"/>
        <w:ind w:firstLine="200"/>
        <w:jc w:val="both"/>
      </w:pPr>
      <w:r>
        <w:t>A logistic regression classifier is trained on standardized numeric features and one-hot encoded categorical features (Geography, Gender), with balanced class weighting to correct for the ~71:29 retain:churn split. The model supports a what-if simulator that estimates churn probability for a hypothetical customer profile and compares the effect of individual retention interventions.</w:t>
      </w:r>
    </w:p>
    <w:p w14:paraId="5FB7D97C" w14:textId="77777777" w:rsidR="00103846" w:rsidRDefault="00000000">
      <w:pPr>
        <w:spacing w:before="160" w:after="20"/>
        <w:jc w:val="center"/>
      </w:pPr>
      <w:r>
        <w:rPr>
          <w:b/>
          <w:bCs/>
          <w:sz w:val="18"/>
          <w:szCs w:val="18"/>
        </w:rPr>
        <w:t>TABLE I</w:t>
      </w:r>
    </w:p>
    <w:p w14:paraId="2B1F4337" w14:textId="77777777" w:rsidR="00103846" w:rsidRDefault="00000000">
      <w:pPr>
        <w:spacing w:after="80"/>
        <w:jc w:val="center"/>
      </w:pPr>
      <w:r>
        <w:rPr>
          <w:b/>
          <w:bCs/>
          <w:caps/>
          <w:sz w:val="18"/>
          <w:szCs w:val="18"/>
        </w:rPr>
        <w:t>Key Performance Indicator Definitions</w:t>
      </w:r>
    </w:p>
    <w:tbl>
      <w:tblPr>
        <w:tblW w:w="4650" w:type="dxa"/>
        <w:tblBorders>
          <w:top w:val="single" w:sz="4" w:space="0" w:color="000000"/>
          <w:bottom w:val="single" w:sz="4" w:space="0" w:color="000000"/>
          <w:insideH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750"/>
        <w:gridCol w:w="2350"/>
      </w:tblGrid>
      <w:tr w:rsidR="00103846" w14:paraId="63637DC6" w14:textId="77777777">
        <w:trPr>
          <w:tblHeader/>
        </w:trPr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624E4C" w14:textId="77777777" w:rsidR="001038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KPI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62B816" w14:textId="77777777" w:rsidR="001038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3D1536" w14:textId="77777777" w:rsidR="001038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Definition</w:t>
            </w:r>
          </w:p>
        </w:tc>
      </w:tr>
      <w:tr w:rsidR="00103846" w14:paraId="3046A13F" w14:textId="77777777"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DD07DE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Engagement Retention Ratio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83C1EB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1.62x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307FF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Active ÷ inactive retention</w:t>
            </w:r>
          </w:p>
        </w:tc>
      </w:tr>
      <w:tr w:rsidR="00103846" w14:paraId="0D281ACA" w14:textId="77777777"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A4BF09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Product Depth Index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418B3E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+11.8 pp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7B498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Best tier − single-product retention</w:t>
            </w:r>
          </w:p>
        </w:tc>
      </w:tr>
      <w:tr w:rsidR="00103846" w14:paraId="0B9D71F5" w14:textId="77777777"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987C9E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High-Bal. Disengagement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F18CF2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46.2%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B8E7B1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Top-quartile balance, inactive</w:t>
            </w:r>
          </w:p>
        </w:tc>
      </w:tr>
      <w:tr w:rsidR="00103846" w14:paraId="283A3C82" w14:textId="77777777"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2972D6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Card Stickiness Score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27435F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+3.9 pp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50863A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Cardholder − non-cardholder retention</w:t>
            </w:r>
          </w:p>
        </w:tc>
      </w:tr>
      <w:tr w:rsidR="00103846" w14:paraId="0C8AE5A3" w14:textId="77777777">
        <w:tc>
          <w:tcPr>
            <w:tcW w:w="15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300E1B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Relationship Strength</w:t>
            </w:r>
          </w:p>
        </w:tc>
        <w:tc>
          <w:tcPr>
            <w:tcW w:w="7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9A1B92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61.1/100</w:t>
            </w:r>
          </w:p>
        </w:tc>
        <w:tc>
          <w:tcPr>
            <w:tcW w:w="2350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2069E3" w14:textId="77777777" w:rsidR="00103846" w:rsidRDefault="00000000">
            <w:pPr>
              <w:jc w:val="center"/>
            </w:pPr>
            <w:r>
              <w:rPr>
                <w:sz w:val="16"/>
                <w:szCs w:val="16"/>
              </w:rPr>
              <w:t>Composite activity/product/tenure/card</w:t>
            </w:r>
          </w:p>
        </w:tc>
      </w:tr>
    </w:tbl>
    <w:p w14:paraId="47984C38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IV. Results</w:t>
      </w:r>
    </w:p>
    <w:p w14:paraId="38B0EE6A" w14:textId="77777777" w:rsidR="00103846" w:rsidRDefault="00000000">
      <w:pPr>
        <w:spacing w:before="140" w:after="80"/>
      </w:pPr>
      <w:r>
        <w:rPr>
          <w:b/>
          <w:bCs/>
          <w:i/>
          <w:iCs/>
        </w:rPr>
        <w:t>A. Engagement vs. Churn</w:t>
      </w:r>
    </w:p>
    <w:p w14:paraId="76B72BD3" w14:textId="77777777" w:rsidR="0010384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B040A9A" wp14:editId="351763E1">
            <wp:extent cx="2857500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3D41" w14:textId="77777777" w:rsidR="0010384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Fig. 1.</w:t>
      </w:r>
      <w:r>
        <w:rPr>
          <w:sz w:val="18"/>
          <w:szCs w:val="18"/>
        </w:rPr>
        <w:t xml:space="preserve"> Churn rate by activity status.</w:t>
      </w:r>
    </w:p>
    <w:p w14:paraId="1F4FCD58" w14:textId="77777777" w:rsidR="00103846" w:rsidRDefault="00000000">
      <w:pPr>
        <w:spacing w:after="60"/>
        <w:ind w:firstLine="200"/>
        <w:jc w:val="both"/>
      </w:pPr>
      <w:r>
        <w:t>Activity status is the strongest single driver observed. Inactive members churn at 46.8% versus 13.8% for active members, an Engagement Retention Ratio of 1.62x.</w:t>
      </w:r>
    </w:p>
    <w:p w14:paraId="53855DA4" w14:textId="77777777" w:rsidR="00103846" w:rsidRDefault="00000000">
      <w:pPr>
        <w:spacing w:before="140" w:after="80"/>
      </w:pPr>
      <w:r>
        <w:rPr>
          <w:b/>
          <w:bCs/>
          <w:i/>
          <w:iCs/>
        </w:rPr>
        <w:t>B. Product Utilization</w:t>
      </w:r>
    </w:p>
    <w:p w14:paraId="3E665104" w14:textId="77777777" w:rsidR="0010384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D5F6F7A" wp14:editId="314472C3">
            <wp:extent cx="2857500" cy="2105025"/>
            <wp:effectExtent l="0" t="0" r="0" b="0"/>
            <wp:docPr id="1178080203" name="Picture 117808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EAA1" w14:textId="77777777" w:rsidR="0010384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Fig. 2.</w:t>
      </w:r>
      <w:r>
        <w:rPr>
          <w:sz w:val="18"/>
          <w:szCs w:val="18"/>
        </w:rPr>
        <w:t xml:space="preserve"> Churn rate by number of products held.</w:t>
      </w:r>
    </w:p>
    <w:p w14:paraId="66BC1D12" w14:textId="77777777" w:rsidR="00103846" w:rsidRDefault="00000000">
      <w:pPr>
        <w:spacing w:after="60"/>
        <w:ind w:firstLine="200"/>
        <w:jc w:val="both"/>
      </w:pPr>
      <w:r>
        <w:t>Product depth does not reduce churn monotonically. Two-product customers show the lowest churn (19.6%), below single-product customers (31.4%). Customers holding three (56.7%) or four (57.3%) products churn far more than either group, consistent with distress-driven bundling (e.g., loan consolidation) rather than deeper loyalty. A simple single- versus multi-product split (31.4% vs. 26.5%) masks this inflection.</w:t>
      </w:r>
    </w:p>
    <w:p w14:paraId="59B41BAC" w14:textId="77777777" w:rsidR="00103846" w:rsidRDefault="00000000">
      <w:pPr>
        <w:spacing w:before="140" w:after="80"/>
      </w:pPr>
      <w:r>
        <w:rPr>
          <w:b/>
          <w:bCs/>
          <w:i/>
          <w:iCs/>
        </w:rPr>
        <w:t>C. Geographic Variation</w:t>
      </w:r>
    </w:p>
    <w:p w14:paraId="6D96710B" w14:textId="77777777" w:rsidR="00103846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9F37BB5" wp14:editId="7CDD9290">
            <wp:extent cx="2857500" cy="2105025"/>
            <wp:effectExtent l="0" t="0" r="0" b="0"/>
            <wp:docPr id="641020874" name="Picture 64102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B1DA" w14:textId="77777777" w:rsidR="0010384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Fig. 3.</w:t>
      </w:r>
      <w:r>
        <w:rPr>
          <w:sz w:val="18"/>
          <w:szCs w:val="18"/>
        </w:rPr>
        <w:t xml:space="preserve"> Churn rate by geography.</w:t>
      </w:r>
    </w:p>
    <w:p w14:paraId="0762BF9B" w14:textId="77777777" w:rsidR="00103846" w:rsidRDefault="00000000">
      <w:pPr>
        <w:spacing w:after="60"/>
        <w:ind w:firstLine="200"/>
        <w:jc w:val="both"/>
      </w:pPr>
      <w:r>
        <w:t>Germany shows elevated churn (34.6%) relative to France (28.6%) and Spain (24.4%), likely proxying market-specific competitive or product-mix effects not captured in this dataset.</w:t>
      </w:r>
    </w:p>
    <w:p w14:paraId="725D54C1" w14:textId="77777777" w:rsidR="00103846" w:rsidRDefault="00000000">
      <w:pPr>
        <w:spacing w:before="140" w:after="80"/>
      </w:pPr>
      <w:r>
        <w:rPr>
          <w:b/>
          <w:bCs/>
          <w:i/>
          <w:iCs/>
        </w:rPr>
        <w:t>D. Engagement Profiles</w:t>
      </w:r>
    </w:p>
    <w:p w14:paraId="018959D7" w14:textId="77777777" w:rsidR="0010384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B4C86E9" wp14:editId="21E0885D">
            <wp:extent cx="2857500" cy="2181225"/>
            <wp:effectExtent l="0" t="0" r="0" b="0"/>
            <wp:docPr id="1597707339" name="Picture 1597707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4BF9" w14:textId="77777777" w:rsidR="0010384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Fig. 4.</w:t>
      </w:r>
      <w:r>
        <w:rPr>
          <w:sz w:val="18"/>
          <w:szCs w:val="18"/>
        </w:rPr>
        <w:t xml:space="preserve"> Churn rate by engagement profile.</w:t>
      </w:r>
    </w:p>
    <w:p w14:paraId="29975225" w14:textId="77777777" w:rsidR="00103846" w:rsidRDefault="00000000">
      <w:pPr>
        <w:spacing w:after="60"/>
        <w:ind w:firstLine="200"/>
        <w:jc w:val="both"/>
      </w:pPr>
      <w:r>
        <w:t>The four engagement profiles separate churn risk cleanly. Active Engaged (13.4%) and Active Low-Product (14.1%) customers churn at similarly low rates, confirming activity -- not product count -- drives most of the separation. Inactive High-Balance customers churn highest of all, at 57.9%.</w:t>
      </w:r>
    </w:p>
    <w:p w14:paraId="2D372DBF" w14:textId="77777777" w:rsidR="00103846" w:rsidRDefault="00000000">
      <w:pPr>
        <w:spacing w:before="140" w:after="80"/>
      </w:pPr>
      <w:r>
        <w:rPr>
          <w:b/>
          <w:bCs/>
          <w:i/>
          <w:iCs/>
        </w:rPr>
        <w:t>E. Financial Commitment vs. Engagement</w:t>
      </w:r>
    </w:p>
    <w:p w14:paraId="38E2C17B" w14:textId="77777777" w:rsidR="00103846" w:rsidRDefault="00000000">
      <w:pPr>
        <w:spacing w:after="60"/>
        <w:ind w:firstLine="200"/>
        <w:jc w:val="both"/>
      </w:pPr>
      <w:r>
        <w:t>High balance alone does not protect against churn: 46.2% of top-quartile-balance customers are currently inactive. A related salary-balance mismatch segment (high income, low balance at this institution) comprises 9.3% of the base and churns at 27.1%, above baseline. An at-risk premium filter (inactive, top-quartile balance, above-median salary) isolates 556 customers (5.6% of the base); 58.3% of this watchlist has already churned, confirming the filter's advance-detection value.</w:t>
      </w:r>
    </w:p>
    <w:p w14:paraId="6E2559A5" w14:textId="77777777" w:rsidR="00103846" w:rsidRDefault="00000000">
      <w:pPr>
        <w:spacing w:before="140" w:after="80"/>
      </w:pPr>
      <w:r>
        <w:rPr>
          <w:b/>
          <w:bCs/>
          <w:i/>
          <w:iCs/>
        </w:rPr>
        <w:t>F. Retention Strength Assessment</w:t>
      </w:r>
    </w:p>
    <w:p w14:paraId="29ECFBE4" w14:textId="77777777" w:rsidR="0010384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DDC2AF5" wp14:editId="4268C44F">
            <wp:extent cx="2857500" cy="2105025"/>
            <wp:effectExtent l="0" t="0" r="0" b="0"/>
            <wp:docPr id="2020549317" name="Picture 202054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1181" w14:textId="77777777" w:rsidR="00103846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Fig. 5.</w:t>
      </w:r>
      <w:r>
        <w:rPr>
          <w:sz w:val="18"/>
          <w:szCs w:val="18"/>
        </w:rPr>
        <w:t xml:space="preserve"> Churn rate by Relationship Strength Index tier.</w:t>
      </w:r>
    </w:p>
    <w:p w14:paraId="161433C5" w14:textId="77777777" w:rsidR="00103846" w:rsidRDefault="00000000">
      <w:pPr>
        <w:spacing w:after="60"/>
        <w:ind w:firstLine="200"/>
        <w:jc w:val="both"/>
      </w:pPr>
      <w:r>
        <w:t>Churn falls in a stable, monotonic gradient as Relationship Strength rises, from 57.1% (Low) to 12.7% (Very High), validating the composite index as a genuine ordinal risk scale suitable for a single scorecard metric.</w:t>
      </w:r>
    </w:p>
    <w:p w14:paraId="2012BEFF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V. Discussion</w:t>
      </w:r>
    </w:p>
    <w:p w14:paraId="0A35F97B" w14:textId="77777777" w:rsidR="00103846" w:rsidRDefault="00000000">
      <w:pPr>
        <w:spacing w:after="60"/>
        <w:ind w:firstLine="200"/>
        <w:jc w:val="both"/>
      </w:pPr>
      <w:r>
        <w:t>Engagement, not tenure or balance, is the dominant retention lever observed in this data. Product depth exhibits a sweet spot rather than a linear benefit: two products correlates with the strongest retention, while additional products beyond that correlate with higher churn, likely reflecting distress bundling rather than loyalty. Balance is not a loyalty signal on its own -- high-balance inactive customers are the highest-churn segment identified. Silent churn is detectable in advance: the at-risk premium filter flags most eventual premium-customer losses before they occur. The Relationship Strength Index behaves as a genuine ordinal risk scale, supporting its use as a standing scorecard metric.</w:t>
      </w:r>
    </w:p>
    <w:p w14:paraId="53B0AA0A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VI. Recommendations</w:t>
      </w:r>
    </w:p>
    <w:p w14:paraId="3B7830FA" w14:textId="77777777" w:rsidR="00103846" w:rsidRDefault="00000000">
      <w:pPr>
        <w:spacing w:after="60"/>
        <w:ind w:firstLine="200"/>
        <w:jc w:val="both"/>
      </w:pPr>
      <w:r>
        <w:t>Three recommendation areas follow directly from the results. First, engagement-driven retention: treat activation, not only acquisition, as a first-class lever, and instrument an early-warning trigger on the Active-to-Inactive transition rather than waiting for a churn signal. Second, product bundling: target a two-product relationship as the cross-sell objective rather than maximizing product count, and distinguish cross-sell-driven multi-product holders from distress-driven ones in bundling campaigns. Third, silent churn among premium customers: operate a recurring at-risk premium report using the High-Balance Disengagement Rate and watchlist filter, reviewed by relationship managers on a fixed cadence, and treat the salary-balance mismatch segment as a share-of-wallet opportunity as well as a churn risk.</w:t>
      </w:r>
    </w:p>
    <w:p w14:paraId="0CFBBD84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VII. Limitations</w:t>
      </w:r>
    </w:p>
    <w:p w14:paraId="30A22A80" w14:textId="77777777" w:rsidR="00103846" w:rsidRDefault="00000000">
      <w:pPr>
        <w:spacing w:after="60"/>
        <w:ind w:firstLine="200"/>
        <w:jc w:val="both"/>
      </w:pPr>
      <w:r>
        <w:t xml:space="preserve">This analysis uses synthetic data matching the schema described in the project brief; findings should be re-validated against production data before informing business or supervisory decisions. The dataset provides product count but not product type, so true product-mix analysis, as distinct </w:t>
      </w:r>
      <w:r>
        <w:lastRenderedPageBreak/>
        <w:t>from product depth, is not possible with the fields available. Relationship Strength Index weights (40/30/20/10) are set judgmentally rather than statistically fit. Churn is treated as a static label; no time-to-churn or survival analysis is performed, so intervention timing is not yet optimized.</w:t>
      </w:r>
    </w:p>
    <w:p w14:paraId="58453728" w14:textId="77777777" w:rsidR="00103846" w:rsidRDefault="00000000">
      <w:pPr>
        <w:spacing w:before="220" w:after="120"/>
        <w:jc w:val="center"/>
      </w:pPr>
      <w:r>
        <w:rPr>
          <w:b/>
          <w:bCs/>
          <w:caps/>
        </w:rPr>
        <w:t>VIII. Conclusion</w:t>
      </w:r>
    </w:p>
    <w:p w14:paraId="7261DE62" w14:textId="77777777" w:rsidR="00103846" w:rsidRDefault="00000000">
      <w:pPr>
        <w:spacing w:after="60"/>
        <w:ind w:firstLine="200"/>
        <w:jc w:val="both"/>
      </w:pPr>
      <w:r>
        <w:t>This work reframes customer churn from a behavioral and relationship-strength perspective rather than a demographic one. Engagement emerges as the clearest quantitative driver of retention, product depth shows a sweet-spot rather than linear relationship, and high-balance customers prove just as capable of silent, undetected churn as any other segment. The KPI set, engagement-profile framework, and risk model developed here give an institution a concrete, monitorable basis for engagement-driven retention strategy, more disciplined bundling decisions, and early detection of premium-customer attrition, pending validation against real production data.</w:t>
      </w:r>
    </w:p>
    <w:p w14:paraId="2F9D422D" w14:textId="77777777" w:rsidR="00103846" w:rsidRDefault="00000000">
      <w:pPr>
        <w:spacing w:before="240" w:after="120"/>
        <w:jc w:val="center"/>
      </w:pPr>
      <w:r>
        <w:rPr>
          <w:b/>
          <w:bCs/>
        </w:rPr>
        <w:t>REFERENCES</w:t>
      </w:r>
    </w:p>
    <w:p w14:paraId="3F007377" w14:textId="77777777" w:rsidR="00103846" w:rsidRDefault="00000000">
      <w:pPr>
        <w:spacing w:after="60"/>
        <w:ind w:left="200" w:hanging="200"/>
      </w:pPr>
      <w:r>
        <w:rPr>
          <w:sz w:val="18"/>
          <w:szCs w:val="18"/>
        </w:rPr>
        <w:t>[1] D. W. Hosmer, S. Lemeshow, and R. X. Sturdivant, Applied Logistic Regression, 3rd ed. Hoboken, NJ, USA: Wiley, 2013.</w:t>
      </w:r>
    </w:p>
    <w:p w14:paraId="0F5A8223" w14:textId="77777777" w:rsidR="00103846" w:rsidRDefault="00000000">
      <w:pPr>
        <w:spacing w:after="60"/>
        <w:ind w:left="200" w:hanging="200"/>
      </w:pPr>
      <w:r>
        <w:rPr>
          <w:sz w:val="18"/>
          <w:szCs w:val="18"/>
        </w:rPr>
        <w:t>[2] G. James, D. Witten, T. Hastie, and R. Tibshirani, An Introduction to Statistical Learning, New York, NY, USA: Springer, 2013.</w:t>
      </w:r>
    </w:p>
    <w:p w14:paraId="1E3F2D64" w14:textId="77777777" w:rsidR="00103846" w:rsidRDefault="00000000">
      <w:pPr>
        <w:spacing w:after="60"/>
        <w:ind w:left="200" w:hanging="200"/>
      </w:pPr>
      <w:r>
        <w:rPr>
          <w:sz w:val="18"/>
          <w:szCs w:val="18"/>
        </w:rPr>
        <w:t>[3] F. Pedregosa et al., "Scikit-learn: Machine learning in Python," Journal of Machine Learning Research, vol. 12, pp. 2825–2830, 2011.</w:t>
      </w:r>
    </w:p>
    <w:p w14:paraId="78BD2366" w14:textId="77777777" w:rsidR="00103846" w:rsidRDefault="00000000">
      <w:pPr>
        <w:spacing w:after="60"/>
        <w:ind w:left="200" w:hanging="200"/>
      </w:pPr>
      <w:r>
        <w:rPr>
          <w:sz w:val="18"/>
          <w:szCs w:val="18"/>
        </w:rPr>
        <w:t>[4] P. Kotler and K. L. Keller, Marketing Management, 15th ed. Boston, MA, USA: Pearson, 2016.</w:t>
      </w:r>
    </w:p>
    <w:sectPr w:rsidR="00103846">
      <w:type w:val="continuous"/>
      <w:pgSz w:w="12240" w:h="15840"/>
      <w:pgMar w:top="1080" w:right="1080" w:bottom="1080" w:left="1080" w:header="708" w:footer="708" w:gutter="0"/>
      <w:cols w:num="2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462C5"/>
    <w:multiLevelType w:val="hybridMultilevel"/>
    <w:tmpl w:val="1C044D56"/>
    <w:lvl w:ilvl="0" w:tplc="40DA58BC">
      <w:start w:val="1"/>
      <w:numFmt w:val="bullet"/>
      <w:lvlText w:val="●"/>
      <w:lvlJc w:val="left"/>
      <w:pPr>
        <w:ind w:left="720" w:hanging="360"/>
      </w:pPr>
    </w:lvl>
    <w:lvl w:ilvl="1" w:tplc="81F4D84E">
      <w:start w:val="1"/>
      <w:numFmt w:val="bullet"/>
      <w:lvlText w:val="○"/>
      <w:lvlJc w:val="left"/>
      <w:pPr>
        <w:ind w:left="1440" w:hanging="360"/>
      </w:pPr>
    </w:lvl>
    <w:lvl w:ilvl="2" w:tplc="CEE81A20">
      <w:start w:val="1"/>
      <w:numFmt w:val="bullet"/>
      <w:lvlText w:val="■"/>
      <w:lvlJc w:val="left"/>
      <w:pPr>
        <w:ind w:left="2160" w:hanging="360"/>
      </w:pPr>
    </w:lvl>
    <w:lvl w:ilvl="3" w:tplc="C2689FE0">
      <w:start w:val="1"/>
      <w:numFmt w:val="bullet"/>
      <w:lvlText w:val="●"/>
      <w:lvlJc w:val="left"/>
      <w:pPr>
        <w:ind w:left="2880" w:hanging="360"/>
      </w:pPr>
    </w:lvl>
    <w:lvl w:ilvl="4" w:tplc="C14AD498">
      <w:start w:val="1"/>
      <w:numFmt w:val="bullet"/>
      <w:lvlText w:val="○"/>
      <w:lvlJc w:val="left"/>
      <w:pPr>
        <w:ind w:left="3600" w:hanging="360"/>
      </w:pPr>
    </w:lvl>
    <w:lvl w:ilvl="5" w:tplc="4E880F8E">
      <w:start w:val="1"/>
      <w:numFmt w:val="bullet"/>
      <w:lvlText w:val="■"/>
      <w:lvlJc w:val="left"/>
      <w:pPr>
        <w:ind w:left="4320" w:hanging="360"/>
      </w:pPr>
    </w:lvl>
    <w:lvl w:ilvl="6" w:tplc="3A5ADD32">
      <w:start w:val="1"/>
      <w:numFmt w:val="bullet"/>
      <w:lvlText w:val="●"/>
      <w:lvlJc w:val="left"/>
      <w:pPr>
        <w:ind w:left="5040" w:hanging="360"/>
      </w:pPr>
    </w:lvl>
    <w:lvl w:ilvl="7" w:tplc="7292B61E">
      <w:start w:val="1"/>
      <w:numFmt w:val="bullet"/>
      <w:lvlText w:val="●"/>
      <w:lvlJc w:val="left"/>
      <w:pPr>
        <w:ind w:left="5760" w:hanging="360"/>
      </w:pPr>
    </w:lvl>
    <w:lvl w:ilvl="8" w:tplc="31201D12">
      <w:start w:val="1"/>
      <w:numFmt w:val="bullet"/>
      <w:lvlText w:val="●"/>
      <w:lvlJc w:val="left"/>
      <w:pPr>
        <w:ind w:left="6480" w:hanging="360"/>
      </w:pPr>
    </w:lvl>
  </w:abstractNum>
  <w:num w:numId="1" w16cid:durableId="212038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46"/>
    <w:rsid w:val="00103846"/>
    <w:rsid w:val="00462076"/>
    <w:rsid w:val="004D7A90"/>
    <w:rsid w:val="006C14DF"/>
    <w:rsid w:val="00842B6B"/>
    <w:rsid w:val="00A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613F"/>
  <w15:docId w15:val="{4AC6618B-228A-4686-9220-C757AA47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Shravanii .</cp:lastModifiedBy>
  <cp:revision>4</cp:revision>
  <dcterms:created xsi:type="dcterms:W3CDTF">2026-09-05T14:24:00Z</dcterms:created>
  <dcterms:modified xsi:type="dcterms:W3CDTF">2026-09-23T15:12:00Z</dcterms:modified>
</cp:coreProperties>
</file>