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left"/>
      </w:pPr>
      <w:r>
        <w:rPr>
          <w:rFonts w:ascii="Times New Roman" w:hAnsi="Times New Roman"/>
          <w:b/>
          <w:sz w:val="24"/>
        </w:rPr>
        <w:t>Data Integrity, Provenance, and Decentralized Decision-Making in Blockchain-Based Supply Chains</w:t>
      </w:r>
    </w:p>
    <w:p>
      <w:pPr>
        <w:spacing w:line="360" w:lineRule="auto" w:after="120"/>
        <w:jc w:val="left"/>
      </w:pPr>
      <w:r>
        <w:rPr>
          <w:rFonts w:ascii="Times New Roman" w:hAnsi="Times New Roman"/>
          <w:b/>
          <w:sz w:val="24"/>
        </w:rPr>
        <w:t>Case Study: BotaniLedger: A Secure Blockchain Supply Chain Traceability Platform for Ayurvedic Herbs</w:t>
      </w:r>
    </w:p>
    <w:p>
      <w:pPr>
        <w:spacing w:line="360" w:lineRule="auto" w:after="120"/>
        <w:jc w:val="left"/>
      </w:pPr>
      <w:r>
        <w:rPr>
          <w:rFonts w:ascii="Times New Roman" w:hAnsi="Times New Roman"/>
          <w:b/>
          <w:sz w:val="24"/>
        </w:rPr>
        <w:t>1.0 Abstract</w:t>
      </w:r>
    </w:p>
    <w:p>
      <w:pPr>
        <w:spacing w:line="360" w:lineRule="auto" w:after="120"/>
        <w:jc w:val="both"/>
      </w:pPr>
      <w:r>
        <w:t>Ayurvedic and botanical supply chains are increasingly vulnerable to adulteration, species substitution, contamination, and undocumented handling practices. These risks are amplified by fragmented supplier networks, low digital penetration at farm level, and weak interoperability across testing laboratories, distributors, and regulators. This chapter develops a comprehensive framework for improving supply chain trust through the integration of permissioned blockchain, artificial intelligence (AI), and decentralized governance, and operationalizes this framework through the case study of BotaniLedger, a blockchain-enabled traceability platform for Ayurvedic herbs.</w:t>
      </w:r>
    </w:p>
    <w:p>
      <w:pPr>
        <w:spacing w:line="360" w:lineRule="auto" w:after="120"/>
        <w:jc w:val="both"/>
      </w:pPr>
      <w:r>
        <w:t>The chapter argues that robust traceability is not only a technical logging exercise but a systemic governance challenge that requires immutable data integrity controls, verifiable provenance of biological materials and testing artifacts, and decentralized decision-making that prevents unilateral manipulation. BotaniLedger addresses these requirements by combining Hyperledger Fabric smart contracts, IPFS-backed certificate anchoring, role-based stakeholder approval, and AI-assisted image verification and quality assessment.</w:t>
      </w:r>
    </w:p>
    <w:p>
      <w:pPr>
        <w:spacing w:line="360" w:lineRule="auto" w:after="120"/>
        <w:jc w:val="left"/>
      </w:pPr>
      <w:r>
        <w:rPr>
          <w:rFonts w:ascii="Times New Roman" w:hAnsi="Times New Roman"/>
          <w:b/>
          <w:sz w:val="24"/>
        </w:rPr>
        <w:t>2.0 Introduction</w:t>
      </w:r>
    </w:p>
    <w:p>
      <w:pPr>
        <w:spacing w:line="360" w:lineRule="auto" w:after="120"/>
        <w:jc w:val="left"/>
      </w:pPr>
      <w:r>
        <w:rPr>
          <w:rFonts w:ascii="Times New Roman" w:hAnsi="Times New Roman"/>
          <w:b/>
          <w:sz w:val="24"/>
        </w:rPr>
        <w:t>2.1 Background of the Ayurvedic Supply Chain</w:t>
      </w:r>
    </w:p>
    <w:p>
      <w:pPr>
        <w:spacing w:line="360" w:lineRule="auto" w:after="120"/>
        <w:jc w:val="both"/>
      </w:pPr>
      <w:r>
        <w:t>The Ayurvedic industry depends on medicinal plants sourced from geographically dispersed farms, collectors, aggregators, laboratories, processors, and manufacturers. Raw herb quality is biologically variable and highly sensitive to species authenticity, harvest timing, moisture, contamination, and post-harvest handling. This complexity generates heterogeneous records across actors and often creates information asymmetry in downstream decision-making.</w:t>
      </w:r>
    </w:p>
    <w:p>
      <w:pPr>
        <w:spacing w:line="360" w:lineRule="auto" w:after="120"/>
        <w:jc w:val="left"/>
      </w:pPr>
      <w:r>
        <w:rPr>
          <w:rFonts w:ascii="Times New Roman" w:hAnsi="Times New Roman"/>
          <w:b/>
          <w:sz w:val="24"/>
        </w:rPr>
        <w:t>2.2 Issues: Adulteration and Lack of Transparency</w:t>
      </w:r>
    </w:p>
    <w:p>
      <w:pPr>
        <w:spacing w:line="360" w:lineRule="auto" w:after="120"/>
        <w:jc w:val="both"/>
      </w:pPr>
      <w:r>
        <w:t>Two structural failures persist in medicinal herb trade: economically motivated adulteration and weak traceability. Paper-led processes and siloed databases allow retrospective editing, selective disclosure, and provenance gaps. The resulting trust deficit affects regulators, manufacturers, and consumers, especially where medicinal claims depend on raw material integrity.</w:t>
      </w:r>
    </w:p>
    <w:p>
      <w:pPr>
        <w:spacing w:line="360" w:lineRule="auto" w:after="120"/>
        <w:jc w:val="left"/>
      </w:pPr>
      <w:r>
        <w:rPr>
          <w:rFonts w:ascii="Times New Roman" w:hAnsi="Times New Roman"/>
          <w:b/>
          <w:sz w:val="24"/>
        </w:rPr>
        <w:t>3.0 Conceptual Foundations</w:t>
      </w:r>
    </w:p>
    <w:p>
      <w:pPr>
        <w:spacing w:line="360" w:lineRule="auto" w:after="120"/>
        <w:jc w:val="left"/>
      </w:pPr>
      <w:r>
        <w:rPr>
          <w:rFonts w:ascii="Times New Roman" w:hAnsi="Times New Roman"/>
          <w:b/>
          <w:sz w:val="24"/>
        </w:rPr>
        <w:t>3.1 Data Integrity in Blockchain</w:t>
      </w:r>
    </w:p>
    <w:p>
      <w:pPr>
        <w:spacing w:line="360" w:lineRule="auto" w:after="120"/>
        <w:jc w:val="both"/>
      </w:pPr>
      <w:r>
        <w:t>In permissioned blockchain systems, integrity is reinforced through identity-bound transactions, append-only ledgers, and deterministic smart contracts. BotaniLedger uses role checks and lifecycle preconditions so that no actor can validly perform unauthorized state transitions.</w:t>
      </w:r>
    </w:p>
    <w:p>
      <w:pPr>
        <w:spacing w:line="360" w:lineRule="auto" w:after="120"/>
        <w:jc w:val="left"/>
      </w:pPr>
      <w:r>
        <w:rPr>
          <w:rFonts w:ascii="Times New Roman" w:hAnsi="Times New Roman"/>
          <w:b/>
          <w:sz w:val="24"/>
        </w:rPr>
        <w:t>3.2 Provenance and Traceability</w:t>
      </w:r>
    </w:p>
    <w:p>
      <w:pPr>
        <w:spacing w:line="360" w:lineRule="auto" w:after="120"/>
        <w:jc w:val="both"/>
      </w:pPr>
      <w:r>
        <w:t>Provenance requires linked evidence of origin, custody, testing, and transformation. BotaniLedger encodes this linkage using batch identifiers, timestamps, actor signatures, and off-chain artifact references (IPFS CIDs) anchored to immutable on-chain states.</w:t>
      </w:r>
    </w:p>
    <w:p>
      <w:pPr>
        <w:spacing w:line="360" w:lineRule="auto" w:after="120"/>
        <w:jc w:val="left"/>
      </w:pPr>
      <w:r>
        <w:rPr>
          <w:rFonts w:ascii="Times New Roman" w:hAnsi="Times New Roman"/>
          <w:b/>
          <w:sz w:val="24"/>
        </w:rPr>
        <w:t>3.3 Decentralized Decision-Making</w:t>
      </w:r>
    </w:p>
    <w:p>
      <w:pPr>
        <w:spacing w:line="360" w:lineRule="auto" w:after="120"/>
        <w:jc w:val="both"/>
      </w:pPr>
      <w:r>
        <w:t>Decision rights are distributed among farmers, labs, manufacturers, and regulators under protocol-level constraints. This model replaces unilateral platform control with policy-driven coordination and improves accountability in multiparty supply chains.</w:t>
      </w:r>
    </w:p>
    <w:p>
      <w:pPr>
        <w:spacing w:line="360" w:lineRule="auto" w:after="120"/>
        <w:jc w:val="left"/>
      </w:pPr>
      <w:r>
        <w:rPr>
          <w:rFonts w:ascii="Times New Roman" w:hAnsi="Times New Roman"/>
          <w:b/>
          <w:sz w:val="24"/>
        </w:rPr>
        <w:t>4.0 Literature Review</w:t>
      </w:r>
    </w:p>
    <w:p>
      <w:pPr>
        <w:spacing w:line="360" w:lineRule="auto" w:after="120"/>
        <w:jc w:val="both"/>
      </w:pPr>
      <w:r>
        <w:t>Prior scholarship shows that blockchain can improve transparency and anti-counterfeit controls in fragmented supply chains, while AI contributes classification and quality screening capabilities. However, many implementations keep AI outputs in mutable stores without governance linkage. BotaniLedger advances this gap by combining AI inference with smart-contract-mediated state transitions and auditable provenance trails.</w:t>
      </w:r>
    </w:p>
    <w:p>
      <w:pPr>
        <w:spacing w:line="360" w:lineRule="auto" w:after="120"/>
        <w:jc w:val="left"/>
      </w:pPr>
      <w:r>
        <w:rPr>
          <w:rFonts w:ascii="Times New Roman" w:hAnsi="Times New Roman"/>
          <w:b/>
          <w:sz w:val="24"/>
        </w:rPr>
        <w:t>5.0 Proposed System: BotaniLedger</w:t>
      </w:r>
    </w:p>
    <w:p>
      <w:pPr>
        <w:spacing w:line="360" w:lineRule="auto" w:after="120"/>
        <w:jc w:val="left"/>
      </w:pPr>
      <w:r>
        <w:rPr>
          <w:rFonts w:ascii="Times New Roman" w:hAnsi="Times New Roman"/>
          <w:b/>
          <w:sz w:val="24"/>
        </w:rPr>
        <w:t>5.1 Architecture</w:t>
      </w:r>
    </w:p>
    <w:p>
      <w:pPr>
        <w:spacing w:line="360" w:lineRule="auto" w:after="120"/>
        <w:jc w:val="both"/>
      </w:pPr>
      <w:r>
        <w:t>BotaniLedger combines a React frontend, Node.js/Express backend, MongoDB for metadata, Redis for caching and resilience, Hyperledger Fabric for immutable workflow enforcement, and IPFS/Pinata for decentralized certificate storage. The platform supports stakeholder onboarding, batch traceability, anomaly monitoring, and consumer verification.</w:t>
      </w:r>
    </w:p>
    <w:p>
      <w:pPr>
        <w:spacing w:line="360" w:lineRule="auto" w:after="120"/>
        <w:jc w:val="left"/>
      </w:pPr>
      <w:r>
        <w:rPr>
          <w:rFonts w:ascii="Times New Roman" w:hAnsi="Times New Roman"/>
          <w:b/>
          <w:sz w:val="24"/>
        </w:rPr>
        <w:t>5.2 Blockchain Workflow</w:t>
      </w:r>
    </w:p>
    <w:p>
      <w:pPr>
        <w:spacing w:line="360" w:lineRule="auto" w:after="120"/>
        <w:jc w:val="both"/>
      </w:pPr>
      <w:r>
        <w:t>The herb-batch workflow progresses through registerBatch, startLabTesting, recordLabResult, dispatchBatch, confirmReceipt, recordSimilarityResult, and optional recallBatch. ProductBatch creation is allowed only when linked herb batches satisfy contractual validity rules, including lab pass, certificate validity period, custody completion, and manufacturer approval.</w:t>
      </w:r>
    </w:p>
    <w:p>
      <w:pPr>
        <w:spacing w:line="360" w:lineRule="auto" w:after="120"/>
        <w:jc w:val="left"/>
      </w:pPr>
      <w:r>
        <w:rPr>
          <w:rFonts w:ascii="Times New Roman" w:hAnsi="Times New Roman"/>
          <w:b/>
          <w:sz w:val="24"/>
        </w:rPr>
        <w:t>5.3 Smart Contracts</w:t>
      </w:r>
    </w:p>
    <w:p>
      <w:pPr>
        <w:spacing w:line="360" w:lineRule="auto" w:after="120"/>
        <w:jc w:val="both"/>
      </w:pPr>
      <w:r>
        <w:t>HerbBatchContract and ProductBatchContract encode authorization and process integrity. MSP-based controls restrict who can invoke each operation, while event emissions such as BatchRegistered, LabResultRecorded, AdulterationDetected, and BatchRecalled provide observable governance signals for audits and interventions.</w:t>
      </w:r>
    </w:p>
    <w:p>
      <w:pPr>
        <w:spacing w:line="360" w:lineRule="auto" w:after="120"/>
        <w:jc w:val="left"/>
      </w:pPr>
      <w:r>
        <w:rPr>
          <w:rFonts w:ascii="Times New Roman" w:hAnsi="Times New Roman"/>
          <w:b/>
          <w:sz w:val="24"/>
        </w:rPr>
        <w:t>5.4 Data Flow</w:t>
      </w:r>
    </w:p>
    <w:p>
      <w:pPr>
        <w:spacing w:line="360" w:lineRule="auto" w:after="120"/>
        <w:jc w:val="both"/>
      </w:pPr>
      <w:r>
        <w:t>Critical decision states are stored on-chain, while large artifacts and analytics remain off-chain. CID anchoring ensures that externally stored files remain verifiable and tamper-evident within the provenance chain.</w:t>
      </w:r>
    </w:p>
    <w:p>
      <w:pPr>
        <w:spacing w:line="360" w:lineRule="auto" w:after="120"/>
        <w:jc w:val="left"/>
      </w:pPr>
      <w:r>
        <w:rPr>
          <w:rFonts w:ascii="Times New Roman" w:hAnsi="Times New Roman"/>
          <w:b/>
          <w:sz w:val="24"/>
        </w:rPr>
        <w:t>6.0 AI Integration</w:t>
      </w:r>
    </w:p>
    <w:p>
      <w:pPr>
        <w:spacing w:line="360" w:lineRule="auto" w:after="120"/>
        <w:jc w:val="left"/>
      </w:pPr>
      <w:r>
        <w:rPr>
          <w:rFonts w:ascii="Times New Roman" w:hAnsi="Times New Roman"/>
          <w:b/>
          <w:sz w:val="24"/>
        </w:rPr>
        <w:t>6.1 ML Model for Image-Based Herb Verification</w:t>
      </w:r>
    </w:p>
    <w:p>
      <w:pPr>
        <w:spacing w:line="360" w:lineRule="auto" w:after="120"/>
        <w:jc w:val="both"/>
      </w:pPr>
      <w:r>
        <w:t>BotaniLedger deploys a FastAPI AI service using MobileNetV2 for image-based species plausibility checks. The service preprocesses uploaded images, evaluates top predictions, and returns structured outputs including species match, confidence, purity proxy, quality grade, and model metadata.</w:t>
      </w:r>
    </w:p>
    <w:p>
      <w:pPr>
        <w:spacing w:line="360" w:lineRule="auto" w:after="120"/>
        <w:jc w:val="left"/>
      </w:pPr>
      <w:r>
        <w:rPr>
          <w:rFonts w:ascii="Times New Roman" w:hAnsi="Times New Roman"/>
          <w:b/>
          <w:sz w:val="24"/>
        </w:rPr>
        <w:t>6.2 Quality Analysis and Fraud Detection</w:t>
      </w:r>
    </w:p>
    <w:p>
      <w:pPr>
        <w:spacing w:line="360" w:lineRule="auto" w:after="120"/>
        <w:jc w:val="both"/>
      </w:pPr>
      <w:r>
        <w:t>A complementary quality endpoint computes visual texture variance as a proxy indicator for purity and anomaly risk. At manufacturer intake, similarity scoring is mapped to decision zones (green, yellow, red), directly influencing downstream batch approval or rejection workflows.</w:t>
      </w:r>
    </w:p>
    <w:p>
      <w:pPr>
        <w:spacing w:line="360" w:lineRule="auto" w:after="120"/>
        <w:jc w:val="left"/>
      </w:pPr>
      <w:r>
        <w:rPr>
          <w:rFonts w:ascii="Times New Roman" w:hAnsi="Times New Roman"/>
          <w:b/>
          <w:sz w:val="24"/>
        </w:rPr>
        <w:t>6.3 AI-Blockchain Integration</w:t>
      </w:r>
    </w:p>
    <w:p>
      <w:pPr>
        <w:spacing w:line="360" w:lineRule="auto" w:after="120"/>
        <w:jc w:val="both"/>
      </w:pPr>
      <w:r>
        <w:t>AI outputs are anchored as contextual evidence rather than unquestioned truth. Smart contracts govern how and when AI-informed records affect lifecycle transitions, ensuring that probabilistic machine outputs are interpreted within institutional and procedural controls.</w:t>
      </w:r>
    </w:p>
    <w:p>
      <w:pPr>
        <w:spacing w:line="360" w:lineRule="auto" w:after="120"/>
        <w:jc w:val="left"/>
      </w:pPr>
      <w:r>
        <w:rPr>
          <w:rFonts w:ascii="Times New Roman" w:hAnsi="Times New Roman"/>
          <w:b/>
          <w:sz w:val="24"/>
        </w:rPr>
        <w:t>7.0 Case Study Analysis</w:t>
      </w:r>
    </w:p>
    <w:p>
      <w:pPr>
        <w:spacing w:line="360" w:lineRule="auto" w:after="120"/>
        <w:jc w:val="left"/>
      </w:pPr>
      <w:r>
        <w:rPr>
          <w:rFonts w:ascii="Times New Roman" w:hAnsi="Times New Roman"/>
          <w:b/>
          <w:sz w:val="24"/>
        </w:rPr>
        <w:t>7.1 Step-by-Step Supply Chain (Farmer -&gt; Distributor/Manufacturer -&gt; Consumer)</w:t>
      </w:r>
    </w:p>
    <w:p>
      <w:pPr>
        <w:spacing w:line="360" w:lineRule="auto" w:after="120"/>
        <w:jc w:val="both"/>
      </w:pPr>
      <w:r>
        <w:t>First, stakeholders are onboarded and approved by AYUSH admin governance rules. Second, farmers log collection events with geo-temporal metadata and AI-assisted species checks. Third, labs conduct testing and anchor quality report references. Fourth, farmers dispatch approved batches and manufacturers confirm receipt and run similarity checks. Fifth, approved lots are composed into product batches and exposed through QR-based consumer verification endpoints.</w:t>
      </w:r>
    </w:p>
    <w:p>
      <w:pPr>
        <w:spacing w:line="360" w:lineRule="auto" w:after="120"/>
        <w:jc w:val="left"/>
      </w:pPr>
      <w:r>
        <w:rPr>
          <w:rFonts w:ascii="Times New Roman" w:hAnsi="Times New Roman"/>
          <w:b/>
          <w:sz w:val="24"/>
        </w:rPr>
        <w:t>7.2 Real-World Scenario</w:t>
      </w:r>
    </w:p>
    <w:p>
      <w:pPr>
        <w:spacing w:line="360" w:lineRule="auto" w:after="120"/>
        <w:jc w:val="both"/>
      </w:pPr>
      <w:r>
        <w:t>In an adulteration scenario, transport-stage substitution can be detected at manufacturer similarity verification. A red-zone result triggers rejection and event emission, preventing compromised material from entering final product composition while preserving complete forensic history for regulator action.</w:t>
      </w:r>
    </w:p>
    <w:p>
      <w:pPr>
        <w:spacing w:line="360" w:lineRule="auto" w:after="120"/>
        <w:jc w:val="left"/>
      </w:pPr>
      <w:r>
        <w:rPr>
          <w:rFonts w:ascii="Times New Roman" w:hAnsi="Times New Roman"/>
          <w:b/>
          <w:sz w:val="24"/>
        </w:rPr>
        <w:t>8.0 Benefits</w:t>
      </w:r>
    </w:p>
    <w:p>
      <w:pPr>
        <w:spacing w:line="360" w:lineRule="auto" w:after="120"/>
        <w:jc w:val="both"/>
      </w:pPr>
      <w:r>
        <w:t>BotaniLedger improves transparency through shared immutable histories, security through role-constrained smart contracts, and trust through verifiable farm-to-product lineage. It also strengthens governance by enabling anomaly dashboards, audit logs, and enforceable procedural accountability across participants.</w:t>
      </w:r>
    </w:p>
    <w:p>
      <w:pPr>
        <w:spacing w:line="360" w:lineRule="auto" w:after="120"/>
        <w:jc w:val="left"/>
      </w:pPr>
      <w:r>
        <w:rPr>
          <w:rFonts w:ascii="Times New Roman" w:hAnsi="Times New Roman"/>
          <w:b/>
          <w:sz w:val="24"/>
        </w:rPr>
        <w:t>9.0 Challenges</w:t>
      </w:r>
    </w:p>
    <w:p>
      <w:pPr>
        <w:spacing w:line="360" w:lineRule="auto" w:after="120"/>
        <w:jc w:val="both"/>
      </w:pPr>
      <w:r>
        <w:t>Adoption barriers include digital literacy constraints, onboarding friction for smallholders, and integration costs with existing enterprise systems. Scalability considerations include network throughput, operational governance of consortium infrastructure, and sustained maintenance of identity and certificate services. AI limitations such as model drift and domain mismatch require calibration and periodic validation.</w:t>
      </w:r>
    </w:p>
    <w:p>
      <w:pPr>
        <w:spacing w:line="360" w:lineRule="auto" w:after="120"/>
        <w:jc w:val="left"/>
      </w:pPr>
      <w:r>
        <w:rPr>
          <w:rFonts w:ascii="Times New Roman" w:hAnsi="Times New Roman"/>
          <w:b/>
          <w:sz w:val="24"/>
        </w:rPr>
        <w:t>10.0 Future Scope</w:t>
      </w:r>
    </w:p>
    <w:p>
      <w:pPr>
        <w:spacing w:line="360" w:lineRule="auto" w:after="120"/>
        <w:jc w:val="both"/>
      </w:pPr>
      <w:r>
        <w:t>Future work should include domain-specific herb datasets, explainable AI outputs, IoT-linked environmental sensing, cryptographic attestation of model versions, and privacy-preserving cross-institution analytics. The architecture can extend to nutraceuticals, high-value spices, cosmetics, and pharmaceutical raw material provenance ecosystems.</w:t>
      </w:r>
    </w:p>
    <w:p>
      <w:pPr>
        <w:spacing w:line="360" w:lineRule="auto" w:after="120"/>
        <w:jc w:val="left"/>
      </w:pPr>
      <w:r>
        <w:rPr>
          <w:rFonts w:ascii="Times New Roman" w:hAnsi="Times New Roman"/>
          <w:b/>
          <w:sz w:val="24"/>
        </w:rPr>
        <w:t>11.0 Conclusion</w:t>
      </w:r>
    </w:p>
    <w:p>
      <w:pPr>
        <w:spacing w:line="360" w:lineRule="auto" w:after="120"/>
        <w:jc w:val="both"/>
      </w:pPr>
      <w:r>
        <w:t>BotaniLedger demonstrates that trustworthy Ayurvedic supply chains require integrated integrity architecture rather than isolated digital tools. Permissioned blockchain ensures tamper-resistant lifecycle enforcement, while AI enhances early-stage verification and anomaly screening. Together, these capabilities support decentralized yet accountable decision-making and create a practical pathway toward regulator-grade traceability.</w:t>
      </w:r>
    </w:p>
    <w:p>
      <w:pPr>
        <w:spacing w:line="360" w:lineRule="auto" w:after="120"/>
        <w:jc w:val="left"/>
      </w:pPr>
      <w:r>
        <w:rPr>
          <w:rFonts w:ascii="Times New Roman" w:hAnsi="Times New Roman"/>
          <w:b/>
          <w:sz w:val="24"/>
        </w:rPr>
        <w:t>12.0 References (APA)</w:t>
      </w:r>
    </w:p>
    <w:p>
      <w:pPr>
        <w:spacing w:line="360" w:lineRule="auto" w:after="120"/>
        <w:jc w:val="both"/>
      </w:pPr>
      <w:r>
        <w:t>Androulaki, E., et al. (2018). Hyperledger Fabric: A distributed operating system for permissioned blockchains. Proceedings of the Thirteenth EuroSys Conference.</w:t>
      </w:r>
    </w:p>
    <w:p>
      <w:pPr>
        <w:spacing w:line="360" w:lineRule="auto" w:after="120"/>
        <w:jc w:val="both"/>
      </w:pPr>
      <w:r>
        <w:t>Casino, F., Dasaklis, T. K., &amp; Patsakis, C. (2019). A systematic literature review of blockchain-based applications. Telematics and Informatics, 36, 55-81.</w:t>
      </w:r>
    </w:p>
    <w:p>
      <w:pPr>
        <w:spacing w:line="360" w:lineRule="auto" w:after="120"/>
        <w:jc w:val="both"/>
      </w:pPr>
      <w:r>
        <w:t>Kamilaris, A., Fonts, A., &amp; Prenafeta-Boldu, F. X. (2019). The rise of blockchain technology in agriculture and food supply chains. Trends in Food Science &amp; Technology, 91, 640-652.</w:t>
      </w:r>
    </w:p>
    <w:p>
      <w:pPr>
        <w:spacing w:line="360" w:lineRule="auto" w:after="120"/>
        <w:jc w:val="both"/>
      </w:pPr>
      <w:r>
        <w:t>Kshetri, N. (2018). Blockchain’s roles in meeting key supply chain management objectives. International Journal of Information Management, 39, 80-89.</w:t>
      </w:r>
    </w:p>
    <w:p>
      <w:pPr>
        <w:spacing w:line="360" w:lineRule="auto" w:after="120"/>
        <w:jc w:val="both"/>
      </w:pPr>
      <w:r>
        <w:t>Saberi, S., Kouhizadeh, M., Sarkis, J., &amp; Shen, L. (2019). Blockchain technology and sustainable supply chain management. International Journal of Production Research, 57(7), 2117-2135.</w:t>
      </w:r>
    </w:p>
    <w:p>
      <w:pPr>
        <w:spacing w:line="360" w:lineRule="auto" w:after="120"/>
        <w:jc w:val="both"/>
      </w:pPr>
      <w:r>
        <w:t>Tian, F. (2016). An agri-food supply chain traceability system based on RFID and blockchain technology. 13th International Conference on Service Systems and Service Management.</w:t>
      </w:r>
    </w:p>
    <w:p>
      <w:pPr>
        <w:spacing w:line="360" w:lineRule="auto" w:after="120"/>
        <w:jc w:val="both"/>
      </w:pPr>
      <w:r>
        <w:t>Wang, Y., Han, J. H., &amp; Beynon-Davies, P. (2019). Understanding blockchain technology for future supply chains. Supply Chain Management: An International Journal, 24(1), 62-84.</w:t>
      </w:r>
    </w:p>
    <w:p>
      <w:pPr>
        <w:spacing w:line="360" w:lineRule="auto" w:after="120"/>
        <w:jc w:val="both"/>
      </w:pPr>
      <w:r>
        <w:t>World Health Organization. (2007). WHO guidelines for assessing quality of herbal medicines with reference to contaminants and residues.</w:t>
      </w:r>
    </w:p>
    <w:p>
      <w:pPr>
        <w:spacing w:line="360" w:lineRule="auto" w:after="120"/>
        <w:jc w:val="both"/>
      </w:pPr>
      <w:r>
        <w:t>World Health Organization. (2013). WHO traditional medicine strategy 2014-2023.</w:t>
      </w:r>
    </w:p>
    <w:p>
      <w:pPr>
        <w:spacing w:line="360" w:lineRule="auto" w:after="120"/>
        <w:jc w:val="both"/>
      </w:pPr>
      <w:r>
        <w:t>Hyperledger Foundation. (2023). Hyperledger Fabric documentation. https://hyperledger-fabric.readthedocs.io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