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53C55" w:rsidRPr="005D003C" w:rsidRDefault="00000000">
      <w:pPr>
        <w:pStyle w:val="Titel"/>
        <w:rPr>
          <w:lang w:val="en-US"/>
        </w:rPr>
      </w:pPr>
      <w:bookmarkStart w:id="0" w:name="_lvn5jlmlquzg" w:colFirst="0" w:colLast="0"/>
      <w:bookmarkEnd w:id="0"/>
      <w:r w:rsidRPr="005D003C">
        <w:rPr>
          <w:lang w:val="en-US"/>
        </w:rPr>
        <w:t>Data collection</w:t>
      </w:r>
    </w:p>
    <w:p w14:paraId="00000002" w14:textId="77777777" w:rsidR="00953C55" w:rsidRPr="005D003C" w:rsidRDefault="00953C55">
      <w:pPr>
        <w:rPr>
          <w:lang w:val="en-US"/>
        </w:rPr>
      </w:pPr>
    </w:p>
    <w:p w14:paraId="00000003" w14:textId="77777777" w:rsidR="00953C55" w:rsidRPr="005D003C" w:rsidRDefault="00000000">
      <w:pPr>
        <w:pStyle w:val="berschrift2"/>
        <w:keepNext w:val="0"/>
        <w:keepLines w:val="0"/>
        <w:shd w:val="clear" w:color="auto" w:fill="FFFFFF"/>
        <w:spacing w:before="280" w:after="160" w:line="264" w:lineRule="auto"/>
        <w:rPr>
          <w:lang w:val="en-US"/>
        </w:rPr>
      </w:pPr>
      <w:bookmarkStart w:id="1" w:name="_be15l6hwjrzq" w:colFirst="0" w:colLast="0"/>
      <w:bookmarkEnd w:id="1"/>
      <w:r w:rsidRPr="005D003C">
        <w:rPr>
          <w:lang w:val="en-US"/>
        </w:rPr>
        <w:t>Consumption of gas</w:t>
      </w:r>
    </w:p>
    <w:p w14:paraId="00000004" w14:textId="77777777" w:rsidR="00953C55" w:rsidRPr="005D003C" w:rsidRDefault="00000000">
      <w:pPr>
        <w:rPr>
          <w:lang w:val="en-US"/>
        </w:rPr>
      </w:pPr>
      <w:r w:rsidRPr="005D003C">
        <w:rPr>
          <w:color w:val="000000"/>
          <w:sz w:val="26"/>
          <w:szCs w:val="26"/>
          <w:lang w:val="en-US"/>
        </w:rPr>
        <w:t>Train-Data:</w:t>
      </w:r>
      <w:r w:rsidRPr="005D003C">
        <w:rPr>
          <w:sz w:val="26"/>
          <w:szCs w:val="26"/>
          <w:lang w:val="en-US"/>
        </w:rPr>
        <w:t xml:space="preserve"> </w:t>
      </w:r>
      <w:hyperlink r:id="rId4">
        <w:r w:rsidRPr="005D003C">
          <w:rPr>
            <w:color w:val="1155CC"/>
            <w:u w:val="single"/>
            <w:lang w:val="en-US"/>
          </w:rPr>
          <w:t>https://ec.europa.eu/eurostat/databrowser/view/NRG_CB_GAS__custom_3245845/default/table?lang=en</w:t>
        </w:r>
      </w:hyperlink>
    </w:p>
    <w:p w14:paraId="00000005" w14:textId="77777777" w:rsidR="00953C55" w:rsidRPr="005D003C" w:rsidRDefault="00953C55">
      <w:pPr>
        <w:rPr>
          <w:lang w:val="en-US"/>
        </w:rPr>
      </w:pPr>
    </w:p>
    <w:p w14:paraId="00000006" w14:textId="77777777" w:rsidR="00953C55" w:rsidRPr="005D003C" w:rsidRDefault="00000000">
      <w:pPr>
        <w:rPr>
          <w:lang w:val="en-US"/>
        </w:rPr>
      </w:pPr>
      <w:r w:rsidRPr="005D003C">
        <w:rPr>
          <w:sz w:val="26"/>
          <w:szCs w:val="26"/>
          <w:lang w:val="en-US"/>
        </w:rPr>
        <w:t>Predict Data:</w:t>
      </w:r>
      <w:r w:rsidRPr="005D003C">
        <w:rPr>
          <w:lang w:val="en-US"/>
        </w:rPr>
        <w:t xml:space="preserve"> </w:t>
      </w:r>
      <w:hyperlink r:id="rId5">
        <w:r w:rsidRPr="005D003C">
          <w:rPr>
            <w:color w:val="1155CC"/>
            <w:u w:val="single"/>
            <w:lang w:val="en-US"/>
          </w:rPr>
          <w:t>https://agsi.gie.eu/historical/eu</w:t>
        </w:r>
      </w:hyperlink>
    </w:p>
    <w:p w14:paraId="00000007" w14:textId="77777777" w:rsidR="00953C55" w:rsidRPr="005D003C" w:rsidRDefault="00953C55">
      <w:pPr>
        <w:rPr>
          <w:lang w:val="en-US"/>
        </w:rPr>
      </w:pPr>
    </w:p>
    <w:p w14:paraId="00000008" w14:textId="77777777" w:rsidR="00953C55" w:rsidRPr="005D003C" w:rsidRDefault="00000000">
      <w:pPr>
        <w:pStyle w:val="berschrift3"/>
        <w:rPr>
          <w:sz w:val="26"/>
          <w:szCs w:val="26"/>
          <w:lang w:val="en-US"/>
        </w:rPr>
      </w:pPr>
      <w:bookmarkStart w:id="2" w:name="_vyhai52k5chp" w:colFirst="0" w:colLast="0"/>
      <w:bookmarkEnd w:id="2"/>
      <w:r w:rsidRPr="005D003C">
        <w:rPr>
          <w:color w:val="000000"/>
          <w:sz w:val="32"/>
          <w:szCs w:val="32"/>
          <w:lang w:val="en-US"/>
        </w:rPr>
        <w:t>Population</w:t>
      </w:r>
    </w:p>
    <w:p w14:paraId="00000009" w14:textId="77777777" w:rsidR="00953C55" w:rsidRPr="005D003C" w:rsidRDefault="00000000">
      <w:pPr>
        <w:rPr>
          <w:lang w:val="en-US"/>
        </w:rPr>
      </w:pPr>
      <w:hyperlink r:id="rId6">
        <w:r w:rsidRPr="005D003C">
          <w:rPr>
            <w:color w:val="1155CC"/>
            <w:u w:val="single"/>
            <w:lang w:val="en-US"/>
          </w:rPr>
          <w:t>https://ec.europa.eu/eurostat/databrowser/view/demo_pjan/default/table?lang=en</w:t>
        </w:r>
      </w:hyperlink>
      <w:r w:rsidRPr="005D003C">
        <w:rPr>
          <w:lang w:val="en-US"/>
        </w:rPr>
        <w:t xml:space="preserve"> </w:t>
      </w:r>
    </w:p>
    <w:p w14:paraId="0000000A" w14:textId="77777777" w:rsidR="00953C55" w:rsidRPr="005D003C" w:rsidRDefault="00953C55">
      <w:pPr>
        <w:rPr>
          <w:lang w:val="en-US"/>
        </w:rPr>
      </w:pPr>
    </w:p>
    <w:p w14:paraId="0000000B" w14:textId="77777777" w:rsidR="00953C55" w:rsidRPr="005D003C" w:rsidRDefault="00000000">
      <w:pPr>
        <w:pStyle w:val="berschrift3"/>
        <w:keepNext w:val="0"/>
        <w:keepLines w:val="0"/>
        <w:shd w:val="clear" w:color="auto" w:fill="FFFFFF"/>
        <w:spacing w:before="280" w:after="160" w:line="264" w:lineRule="auto"/>
        <w:rPr>
          <w:color w:val="000000"/>
          <w:sz w:val="26"/>
          <w:szCs w:val="26"/>
          <w:lang w:val="en-US"/>
        </w:rPr>
      </w:pPr>
      <w:bookmarkStart w:id="3" w:name="_7sj68o3loqz6" w:colFirst="0" w:colLast="0"/>
      <w:bookmarkEnd w:id="3"/>
      <w:r w:rsidRPr="005D003C">
        <w:rPr>
          <w:color w:val="000000"/>
          <w:sz w:val="32"/>
          <w:szCs w:val="32"/>
          <w:lang w:val="en-US"/>
        </w:rPr>
        <w:t>Gas prices</w:t>
      </w:r>
    </w:p>
    <w:p w14:paraId="0000000C" w14:textId="77777777" w:rsidR="00953C55" w:rsidRPr="005D003C" w:rsidRDefault="00000000">
      <w:pPr>
        <w:rPr>
          <w:lang w:val="en-US"/>
        </w:rPr>
      </w:pPr>
      <w:hyperlink r:id="rId7">
        <w:r w:rsidRPr="005D003C">
          <w:rPr>
            <w:color w:val="1155CC"/>
            <w:u w:val="single"/>
            <w:lang w:val="en-US"/>
          </w:rPr>
          <w:t>https://de.investing.com/commodities/dutch-ttf-gas-c1-futures-historical-data</w:t>
        </w:r>
      </w:hyperlink>
    </w:p>
    <w:p w14:paraId="0000000D" w14:textId="77777777" w:rsidR="00953C55" w:rsidRPr="005D003C" w:rsidRDefault="00953C55">
      <w:pPr>
        <w:rPr>
          <w:lang w:val="en-US"/>
        </w:rPr>
      </w:pPr>
    </w:p>
    <w:p w14:paraId="0000000E" w14:textId="77777777" w:rsidR="00953C55" w:rsidRPr="005D003C" w:rsidRDefault="00000000">
      <w:pPr>
        <w:pStyle w:val="berschrift3"/>
        <w:keepNext w:val="0"/>
        <w:keepLines w:val="0"/>
        <w:shd w:val="clear" w:color="auto" w:fill="FFFFFF"/>
        <w:spacing w:before="280" w:after="160" w:line="264" w:lineRule="auto"/>
        <w:rPr>
          <w:sz w:val="32"/>
          <w:szCs w:val="32"/>
          <w:lang w:val="en-US"/>
        </w:rPr>
      </w:pPr>
      <w:bookmarkStart w:id="4" w:name="_9qlpdzlgdcik" w:colFirst="0" w:colLast="0"/>
      <w:bookmarkEnd w:id="4"/>
      <w:r w:rsidRPr="005D003C">
        <w:rPr>
          <w:sz w:val="32"/>
          <w:szCs w:val="32"/>
          <w:lang w:val="en-US"/>
        </w:rPr>
        <w:t>GDP</w:t>
      </w:r>
    </w:p>
    <w:bookmarkStart w:id="5" w:name="_a5fp2sg81a8l" w:colFirst="0" w:colLast="0"/>
    <w:bookmarkEnd w:id="5"/>
    <w:p w14:paraId="0000000F" w14:textId="77777777" w:rsidR="00953C55" w:rsidRPr="005D003C" w:rsidRDefault="00000000">
      <w:pPr>
        <w:pStyle w:val="berschrift3"/>
        <w:keepNext w:val="0"/>
        <w:keepLines w:val="0"/>
        <w:shd w:val="clear" w:color="auto" w:fill="FFFFFF"/>
        <w:spacing w:before="280" w:after="160" w:line="264" w:lineRule="auto"/>
        <w:rPr>
          <w:sz w:val="26"/>
          <w:szCs w:val="26"/>
          <w:lang w:val="en-US"/>
        </w:rPr>
      </w:pPr>
      <w:r>
        <w:fldChar w:fldCharType="begin"/>
      </w:r>
      <w:r w:rsidRPr="005D003C">
        <w:rPr>
          <w:lang w:val="en-US"/>
        </w:rPr>
        <w:instrText>HYPERLINK "https://data.worldbank.org/indicator/NY.GDP.MKTP.CD?locations=EU" \h</w:instrText>
      </w:r>
      <w:r>
        <w:fldChar w:fldCharType="separate"/>
      </w:r>
      <w:r w:rsidRPr="005D003C">
        <w:rPr>
          <w:color w:val="1155CC"/>
          <w:sz w:val="22"/>
          <w:szCs w:val="22"/>
          <w:u w:val="single"/>
          <w:lang w:val="en-US"/>
        </w:rPr>
        <w:t>https://data.worldbank.org/indicator/NY.GDP.MKTP.CD?locations=EU</w:t>
      </w:r>
      <w:r>
        <w:rPr>
          <w:color w:val="1155CC"/>
          <w:sz w:val="22"/>
          <w:szCs w:val="22"/>
          <w:u w:val="single"/>
        </w:rPr>
        <w:fldChar w:fldCharType="end"/>
      </w:r>
    </w:p>
    <w:p w14:paraId="00000010" w14:textId="77777777" w:rsidR="00953C55" w:rsidRPr="005D003C" w:rsidRDefault="00000000">
      <w:pPr>
        <w:rPr>
          <w:lang w:val="en-US"/>
        </w:rPr>
      </w:pPr>
      <w:hyperlink r:id="rId8">
        <w:r w:rsidRPr="005D003C">
          <w:rPr>
            <w:color w:val="1155CC"/>
            <w:u w:val="single"/>
            <w:lang w:val="en-US"/>
          </w:rPr>
          <w:t>https://rootsofprogress.org/is-growth-linear-not-exponential</w:t>
        </w:r>
      </w:hyperlink>
    </w:p>
    <w:p w14:paraId="00000011" w14:textId="77777777" w:rsidR="00953C55" w:rsidRPr="005D003C" w:rsidRDefault="00953C55">
      <w:pPr>
        <w:rPr>
          <w:lang w:val="en-US"/>
        </w:rPr>
      </w:pPr>
    </w:p>
    <w:p w14:paraId="00000012" w14:textId="77777777" w:rsidR="00953C55" w:rsidRPr="005D003C" w:rsidRDefault="00000000">
      <w:pPr>
        <w:pStyle w:val="berschrift3"/>
        <w:rPr>
          <w:sz w:val="32"/>
          <w:szCs w:val="32"/>
          <w:lang w:val="en-US"/>
        </w:rPr>
      </w:pPr>
      <w:bookmarkStart w:id="6" w:name="_vdobsiei8b8y" w:colFirst="0" w:colLast="0"/>
      <w:bookmarkEnd w:id="6"/>
      <w:r w:rsidRPr="005D003C">
        <w:rPr>
          <w:sz w:val="32"/>
          <w:szCs w:val="32"/>
          <w:lang w:val="en-US"/>
        </w:rPr>
        <w:t>Inflation</w:t>
      </w:r>
    </w:p>
    <w:bookmarkStart w:id="7" w:name="_4olgrq6r5ys0" w:colFirst="0" w:colLast="0"/>
    <w:bookmarkEnd w:id="7"/>
    <w:p w14:paraId="00000013" w14:textId="77777777" w:rsidR="00953C55" w:rsidRPr="005D003C" w:rsidRDefault="00000000">
      <w:pPr>
        <w:pStyle w:val="berschrift3"/>
        <w:keepNext w:val="0"/>
        <w:keepLines w:val="0"/>
        <w:shd w:val="clear" w:color="auto" w:fill="FFFFFF"/>
        <w:spacing w:before="280" w:after="160" w:line="264" w:lineRule="auto"/>
        <w:rPr>
          <w:lang w:val="en-US"/>
        </w:rPr>
      </w:pPr>
      <w:r>
        <w:fldChar w:fldCharType="begin"/>
      </w:r>
      <w:r w:rsidRPr="005D003C">
        <w:rPr>
          <w:lang w:val="en-US"/>
        </w:rPr>
        <w:instrText>HYPERLINK "https://sdw.ecb.europa.eu/browse.do?node=9691209" \h</w:instrText>
      </w:r>
      <w:r>
        <w:fldChar w:fldCharType="separate"/>
      </w:r>
      <w:r w:rsidRPr="005D003C">
        <w:rPr>
          <w:color w:val="1155CC"/>
          <w:sz w:val="22"/>
          <w:szCs w:val="22"/>
          <w:u w:val="single"/>
          <w:lang w:val="en-US"/>
        </w:rPr>
        <w:t>https://sdw.ecb.europa.eu/browse.do?node=9691209</w:t>
      </w:r>
      <w:r>
        <w:rPr>
          <w:color w:val="1155CC"/>
          <w:sz w:val="22"/>
          <w:szCs w:val="22"/>
          <w:u w:val="single"/>
        </w:rPr>
        <w:fldChar w:fldCharType="end"/>
      </w:r>
    </w:p>
    <w:p w14:paraId="00000014" w14:textId="77777777" w:rsidR="00953C55" w:rsidRPr="005D003C" w:rsidRDefault="00953C55">
      <w:pPr>
        <w:rPr>
          <w:lang w:val="en-US"/>
        </w:rPr>
      </w:pPr>
    </w:p>
    <w:p w14:paraId="00000015" w14:textId="77777777" w:rsidR="00953C55" w:rsidRDefault="00000000">
      <w:pPr>
        <w:pStyle w:val="berschrift3"/>
        <w:rPr>
          <w:sz w:val="32"/>
          <w:szCs w:val="32"/>
        </w:rPr>
      </w:pPr>
      <w:bookmarkStart w:id="8" w:name="_3qddhnxnt6xk" w:colFirst="0" w:colLast="0"/>
      <w:bookmarkEnd w:id="8"/>
      <w:proofErr w:type="spellStart"/>
      <w:r>
        <w:rPr>
          <w:sz w:val="32"/>
          <w:szCs w:val="32"/>
        </w:rPr>
        <w:t>Renewables</w:t>
      </w:r>
      <w:proofErr w:type="spellEnd"/>
    </w:p>
    <w:p w14:paraId="00000016" w14:textId="77777777" w:rsidR="00953C55" w:rsidRDefault="00000000">
      <w:pPr>
        <w:pStyle w:val="berschrift3"/>
        <w:keepNext w:val="0"/>
        <w:keepLines w:val="0"/>
        <w:shd w:val="clear" w:color="auto" w:fill="FFFFFF"/>
        <w:spacing w:before="280" w:after="160" w:line="264" w:lineRule="auto"/>
        <w:rPr>
          <w:color w:val="1155CC"/>
          <w:u w:val="single"/>
        </w:rPr>
      </w:pPr>
      <w:bookmarkStart w:id="9" w:name="_xpug4a4c45ww" w:colFirst="0" w:colLast="0"/>
      <w:bookmarkEnd w:id="9"/>
      <w:r>
        <w:rPr>
          <w:color w:val="1155CC"/>
          <w:sz w:val="22"/>
          <w:szCs w:val="22"/>
          <w:u w:val="single"/>
        </w:rPr>
        <w:t>https://www.eea.europa.eu/ims/share-of-energy-consumption-from</w:t>
      </w:r>
    </w:p>
    <w:p w14:paraId="00000017" w14:textId="77777777" w:rsidR="00953C55" w:rsidRDefault="00953C55"/>
    <w:p w14:paraId="0000001C" w14:textId="77777777" w:rsidR="00953C55" w:rsidRPr="005D003C" w:rsidRDefault="00953C55">
      <w:pPr>
        <w:rPr>
          <w:lang w:val="en-US"/>
        </w:rPr>
      </w:pPr>
      <w:bookmarkStart w:id="10" w:name="_3xme42wlucv5" w:colFirst="0" w:colLast="0"/>
      <w:bookmarkEnd w:id="10"/>
    </w:p>
    <w:p w14:paraId="0000001D" w14:textId="77777777" w:rsidR="00953C55" w:rsidRPr="005D003C" w:rsidRDefault="00953C55">
      <w:pPr>
        <w:rPr>
          <w:lang w:val="en-US"/>
        </w:rPr>
      </w:pPr>
    </w:p>
    <w:p w14:paraId="0000001E" w14:textId="77777777" w:rsidR="00953C55" w:rsidRPr="005D003C" w:rsidRDefault="00953C55">
      <w:pPr>
        <w:rPr>
          <w:lang w:val="en-US"/>
        </w:rPr>
      </w:pPr>
    </w:p>
    <w:sectPr w:rsidR="00953C55" w:rsidRPr="005D00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C55"/>
    <w:rsid w:val="005D003C"/>
    <w:rsid w:val="0095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4BB6B"/>
  <w15:docId w15:val="{40D9BDD9-F785-4449-988C-BB6164D2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otsofprogress.org/is-growth-linear-not-exponenti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.investing.com/commodities/dutch-ttf-gas-c1-futures-historical-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.europa.eu/eurostat/databrowser/view/demo_pjan/default/table?lang=en" TargetMode="External"/><Relationship Id="rId5" Type="http://schemas.openxmlformats.org/officeDocument/2006/relationships/hyperlink" Target="https://agsi.gie.eu/historical/e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c.europa.eu/eurostat/databrowser/view/NRG_CB_GAS__custom_3245845/default/table?lang=e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René Wollny</cp:lastModifiedBy>
  <cp:revision>3</cp:revision>
  <dcterms:created xsi:type="dcterms:W3CDTF">2022-11-24T11:44:00Z</dcterms:created>
  <dcterms:modified xsi:type="dcterms:W3CDTF">2022-11-24T11:45:00Z</dcterms:modified>
</cp:coreProperties>
</file>