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75728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75728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75728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757280" w:rsidP="003C636B">
      <w:pPr>
        <w:tabs>
          <w:tab w:val="left" w:pos="2145"/>
        </w:tabs>
      </w:pPr>
      <w:r w:rsidRPr="0075728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75728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75728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5728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2.25pt;margin-top:15.15pt;width:233.25pt;height:40.8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A01E54" w:rsidRDefault="00A01E54" w:rsidP="00A01E54">
                  <w:pPr>
                    <w:rPr>
                      <w:szCs w:val="24"/>
                    </w:rPr>
                  </w:pPr>
                  <w:r w:rsidRPr="00A01E54">
                    <w:rPr>
                      <w:szCs w:val="24"/>
                    </w:rPr>
                    <w:t>PRED</w:t>
                  </w:r>
                  <w:r>
                    <w:rPr>
                      <w:szCs w:val="24"/>
                    </w:rPr>
                    <w:t xml:space="preserve">ICT CROP YIELD AND PRODUCTION,  </w:t>
                  </w:r>
                  <w:r w:rsidRPr="00A01E54">
                    <w:rPr>
                      <w:szCs w:val="24"/>
                    </w:rPr>
                    <w:t>PREDICT CROP RECOMMENDATION,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757280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757280" w:rsidP="003C636B">
      <w:pPr>
        <w:tabs>
          <w:tab w:val="left" w:pos="2145"/>
        </w:tabs>
      </w:pPr>
      <w:r w:rsidRPr="00757280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757280" w:rsidP="003C636B">
      <w:pPr>
        <w:tabs>
          <w:tab w:val="left" w:pos="2145"/>
        </w:tabs>
      </w:pPr>
      <w:r w:rsidRPr="00757280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757280" w:rsidP="004769DB">
      <w:pPr>
        <w:rPr>
          <w:rFonts w:ascii="Verdana" w:hAnsi="Verdana"/>
          <w:b/>
        </w:rPr>
      </w:pPr>
      <w:r w:rsidRPr="0075728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5728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75728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5728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4" w:rsidRDefault="00A01E54" w:rsidP="00A01E54">
                  <w:r w:rsidRPr="00A01E54">
                    <w:t>Browse Agriculture Data</w:t>
                  </w:r>
                  <w:r>
                    <w:t xml:space="preserve"> </w:t>
                  </w:r>
                  <w:r w:rsidRPr="00A01E54">
                    <w:t>Sets and Train &amp; Test,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4" w:rsidRDefault="00A01E54" w:rsidP="00A01E54">
                  <w:r w:rsidRPr="00A01E54">
                    <w:t>View All Crop Yield and Production Prediction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A01E54" w:rsidRDefault="00A01E54" w:rsidP="00A01E54">
                  <w:r w:rsidRPr="00A01E54">
                    <w:t>View All Crop Recommendations,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757280" w:rsidP="003C636B">
      <w:pPr>
        <w:tabs>
          <w:tab w:val="left" w:pos="2145"/>
        </w:tabs>
        <w:rPr>
          <w:b/>
          <w:noProof/>
        </w:rPr>
      </w:pPr>
      <w:r w:rsidRPr="00757280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757280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A01E54" w:rsidRPr="00A01E54">
                    <w:t>Download Predicted Data Sets,</w:t>
                  </w:r>
                </w:p>
              </w:txbxContent>
            </v:textbox>
          </v:rect>
        </w:pict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757280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01E54" w:rsidRDefault="00A01E54" w:rsidP="00A01E54">
                  <w:r w:rsidRPr="00A01E54">
                    <w:t>View All Remote Users,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757280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01E54" w:rsidRDefault="00A01E54" w:rsidP="00A01E54">
                  <w:r w:rsidRPr="00A01E54">
                    <w:t>View Crop Yield Prediction Per Acre Results.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5A" w:rsidRDefault="00F3485A" w:rsidP="003D501C">
      <w:pPr>
        <w:spacing w:after="0" w:line="240" w:lineRule="auto"/>
      </w:pPr>
      <w:r>
        <w:separator/>
      </w:r>
    </w:p>
  </w:endnote>
  <w:endnote w:type="continuationSeparator" w:id="1">
    <w:p w:rsidR="00F3485A" w:rsidRDefault="00F3485A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5A" w:rsidRDefault="00F3485A" w:rsidP="003D501C">
      <w:pPr>
        <w:spacing w:after="0" w:line="240" w:lineRule="auto"/>
      </w:pPr>
      <w:r>
        <w:separator/>
      </w:r>
    </w:p>
  </w:footnote>
  <w:footnote w:type="continuationSeparator" w:id="1">
    <w:p w:rsidR="00F3485A" w:rsidRDefault="00F3485A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280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01E54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3485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2022-01-13T12:00:00Z</dcterms:modified>
</cp:coreProperties>
</file>