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KEELSTREAM</w:t>
        <w:br/>
        <w:t>Technical Product Requirements &amp; Delivery Plan</w:t>
      </w:r>
    </w:p>
    <w:p>
      <w:pPr>
        <w:jc w:val="center"/>
      </w:pPr>
      <w:r>
        <w:rPr>
          <w:i/>
        </w:rPr>
        <w:t>Version 1.0 | 17 October 2026 | Working draft for product, engineering and commercial validation</w:t>
      </w:r>
    </w:p>
    <w:p>
      <w:pPr>
        <w:pStyle w:val="Heading1"/>
      </w:pPr>
      <w:r>
        <w:t>1. Executive decision</w:t>
      </w:r>
    </w:p>
    <w:p>
      <w:r>
        <w:t>Build a narrow, measurable revenue-attribution MVP for marketing agencies first. The proposed long-term product combines (1) closed-loop revenue attribution, (2) creative generation and conversion-driven ad optimization, and (3) SEO/AEO content generation and optimization. These loops share a canonical data model but have different data sources, decision rules and evaluation requirements. The existing infrastructure-first CSV does not yet define those product behaviors.</w:t>
      </w:r>
    </w:p>
    <w:p>
      <w:r>
        <w:t>Recommendation: validate one beachhead ICP and source stack, prove campaign-to-revenue reconciliation, then add creative recommendations and SEO/AEO workflows behind approval gates. Defer multi-cloud packaging, marketplace metering and high-scale distributed infrastructure until usage or paying customers justify them.</w:t>
      </w:r>
    </w:p>
    <w:p>
      <w:pPr>
        <w:pStyle w:val="Heading1"/>
      </w:pPr>
      <w:r>
        <w:t>2. Product vision and outcomes</w:t>
      </w:r>
    </w:p>
    <w:p>
      <w:r>
        <w:t>Product promise (hypothesis): help marketing agencies connect spend and content activity to qualified pipeline and revenue, then use the evidence to recommend better campaigns, creatives and content.</w:t>
      </w:r>
    </w:p>
    <w:p>
      <w:pPr>
        <w:pStyle w:val="ListBullet"/>
      </w:pPr>
      <w:r>
        <w:t>Attribution outcome: a traceable view from paid/organic touchpoint → lead → opportunity/customer → agreed revenue event.</w:t>
      </w:r>
    </w:p>
    <w:p>
      <w:pPr>
        <w:pStyle w:val="ListBullet"/>
      </w:pPr>
      <w:r>
        <w:t>Ad outcome: evidence-based creative/campaign recommendations, followed later by bounded, authorized activation through supported platform APIs.</w:t>
      </w:r>
    </w:p>
    <w:p>
      <w:pPr>
        <w:pStyle w:val="ListBullet"/>
      </w:pPr>
      <w:r>
        <w:t>SEO/AEO outcome: content opportunities and drafts grounded in search intent and evidence, with quality gates and post-publication measurement.</w:t>
      </w:r>
    </w:p>
    <w:p>
      <w:pPr>
        <w:pStyle w:val="ListBullet"/>
      </w:pPr>
      <w:r>
        <w:t>Trust outcome: clear metric definitions, data freshness, missing-data warnings, audit trails and tenant isolation.</w:t>
      </w:r>
    </w:p>
    <w:p>
      <w:pPr>
        <w:pStyle w:val="Heading1"/>
      </w:pPr>
      <w:r>
        <w:t>3. Beachhead ICP and PMF gates</w:t>
      </w:r>
    </w:p>
    <w:p>
      <w:r>
        <w:t>Initial ICP hypothesis: small-to-mid-sized marketing agencies managing paid acquisition for multiple clients, with access to at least one ad platform, a CRM, and a reliable lead/customer or revenue outcome. Buyer: agency owner, head of performance, or RevOps/analytics lead. Do not assume this segment is validated until buyer interviews and paid pilots confirm it.</w:t>
      </w:r>
    </w:p>
    <w:p>
      <w:pPr>
        <w:pStyle w:val="ListBullet"/>
      </w:pPr>
      <w:r>
        <w:t>Interview 8–12 target buyers about current reporting workflow, trust gaps, time spent, existing tools, budget owner and buying trigger.</w:t>
      </w:r>
    </w:p>
    <w:p>
      <w:pPr>
        <w:pStyle w:val="ListBullet"/>
      </w:pPr>
      <w:r>
        <w:t>Secure 2–3 design partners willing to provide sanitized sample data and review outputs; aim for at least one paid pilot before expanding scope.</w:t>
      </w:r>
    </w:p>
    <w:p>
      <w:pPr>
        <w:pStyle w:val="ListBullet"/>
      </w:pPr>
      <w:r>
        <w:t>Test willingness to pay against a concrete deliverable (reconciled revenue reporting + recommendations), not a broad promise of autonomous AI marketing.</w:t>
      </w:r>
    </w:p>
    <w:p>
      <w:pPr>
        <w:pStyle w:val="ListBullet"/>
      </w:pPr>
      <w:r>
        <w:t>Track onboarding hours, time-to-first-value, recurring support hours, retained usage and renewal intent.</w:t>
      </w:r>
    </w:p>
    <w:p>
      <w:pPr>
        <w:pStyle w:val="Heading1"/>
      </w:pPr>
      <w:r>
        <w:t>4. MVP scope and exclusions</w:t>
      </w:r>
    </w:p>
    <w:p>
      <w:pPr>
        <w:pStyle w:val="Heading2"/>
      </w:pPr>
      <w:r>
        <w:t>In scope for first paid MVP</w:t>
      </w:r>
    </w:p>
    <w:p>
      <w:pPr>
        <w:pStyle w:val="ListBullet"/>
      </w:pPr>
      <w:r>
        <w:t>One ad platform, one CRM, and one revenue/payment source; pick based on design-partner access rather than theoretical market coverage.</w:t>
      </w:r>
    </w:p>
    <w:p>
      <w:pPr>
        <w:pStyle w:val="ListBullet"/>
      </w:pPr>
      <w:r>
        <w:t>UTM/click-ID capture where supported and permitted, touchpoint storage, deterministic attribution v1, CRM lifecycle synchronization and revenue reconciliation.</w:t>
      </w:r>
    </w:p>
    <w:p>
      <w:pPr>
        <w:pStyle w:val="ListBullet"/>
      </w:pPr>
      <w:r>
        <w:t>Agency-facing dashboard: spend, conversions, pipeline, customers, attributed revenue, CAC/ROAS only when inputs support those calculations, freshness and reconciliation gaps.</w:t>
      </w:r>
    </w:p>
    <w:p>
      <w:pPr>
        <w:pStyle w:val="ListBullet"/>
      </w:pPr>
      <w:r>
        <w:t>Tenant isolation, credential security, audit logs, retries, deduplication, backup/restore and data deletion/retention controls.</w:t>
      </w:r>
    </w:p>
    <w:p>
      <w:pPr>
        <w:pStyle w:val="ListBullet"/>
      </w:pPr>
      <w:r>
        <w:t>Recommendation-only creative/campaign analysis; no autonomous budget or targeting changes in the initial release.</w:t>
      </w:r>
    </w:p>
    <w:p>
      <w:pPr>
        <w:pStyle w:val="Heading2"/>
      </w:pPr>
      <w:r>
        <w:t>Deferred or excluded until validated</w:t>
      </w:r>
    </w:p>
    <w:p>
      <w:pPr>
        <w:pStyle w:val="ListBullet"/>
      </w:pPr>
      <w:r>
        <w:t>Multi-cloud deployment and marketplace metering.</w:t>
      </w:r>
    </w:p>
    <w:p>
      <w:pPr>
        <w:pStyle w:val="ListBullet"/>
      </w:pPr>
      <w:r>
        <w:t>Kafka cluster and OpenSearch cluster unless benchmarks show a need.</w:t>
      </w:r>
    </w:p>
    <w:p>
      <w:pPr>
        <w:pStyle w:val="ListBullet"/>
      </w:pPr>
      <w:r>
        <w:t>Fully autonomous ad-budget, bid or targeting changes.</w:t>
      </w:r>
    </w:p>
    <w:p>
      <w:pPr>
        <w:pStyle w:val="ListBullet"/>
      </w:pPr>
      <w:r>
        <w:t>Multi-engine universal AEO score or guaranteed ranking claims.</w:t>
      </w:r>
    </w:p>
    <w:p>
      <w:pPr>
        <w:pStyle w:val="ListBullet"/>
      </w:pPr>
      <w:r>
        <w:t>Unreviewed bulk content publication; support for many ad networks, CRMs and CMSs at once.</w:t>
      </w:r>
    </w:p>
    <w:p>
      <w:pPr>
        <w:pStyle w:val="Heading1"/>
      </w:pPr>
      <w:r>
        <w:t>5. 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 Source connections</w:t>
            </w:r>
          </w:p>
        </w:tc>
        <w:tc>
          <w:tcPr>
            <w:tcW w:type="dxa" w:w="5112"/>
            <w:vAlign w:val="center"/>
          </w:tcPr>
          <w:p>
            <w:r>
              <w:t>Admins can connect, authorize, test, pause and revoke each integration. Tokens are stored in a secret store or encrypted using managed key services; scopes are minimized.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 Ingestion</w:t>
            </w:r>
          </w:p>
        </w:tc>
        <w:tc>
          <w:tcPr>
            <w:tcW w:type="dxa" w:w="5112"/>
            <w:vAlign w:val="center"/>
          </w:tcPr>
          <w:p>
            <w:r>
              <w:t>Connectors support scheduled sync and webhooks, checkpoints, rate limits, bounded retries, idempotency keys, dead-letter visibility and replay.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FR-03 Event provenance</w:t>
            </w:r>
          </w:p>
        </w:tc>
        <w:tc>
          <w:tcPr>
            <w:tcW w:type="dxa" w:w="5112"/>
            <w:vAlign w:val="center"/>
          </w:tcPr>
          <w:p>
            <w:r>
              <w:t>Every imported event preserves source system, source record ID, event time, ingestion time, tenant ID, schema version and transformation lineage.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FR-04 Identity and touchpoints</w:t>
            </w:r>
          </w:p>
        </w:tc>
        <w:tc>
          <w:tcPr>
            <w:tcW w:type="dxa" w:w="5112"/>
            <w:vAlign w:val="center"/>
          </w:tcPr>
          <w:p>
            <w:r>
              <w:t>Store UTMs, supported click IDs, landing page/referrer and permitted first-party identifiers. Unmatched identities remain explicitly unmatched; consent choices are respected.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FR-05 Attribution</w:t>
            </w:r>
          </w:p>
        </w:tc>
        <w:tc>
          <w:tcPr>
            <w:tcW w:type="dxa" w:w="5112"/>
            <w:vAlign w:val="center"/>
          </w:tcPr>
          <w:p>
            <w:r>
              <w:t>Version one uses one documented deterministic model and configurable lookback window. Raw touchpoints are retained so models can be recomputed. Results disclose incomplete coverage.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FR-06 Revenue</w:t>
            </w:r>
          </w:p>
        </w:tc>
        <w:tc>
          <w:tcPr>
            <w:tcW w:type="dxa" w:w="5112"/>
            <w:vAlign w:val="center"/>
          </w:tcPr>
          <w:p>
            <w:r>
              <w:t>Support agreed conversion definition, currency, payment/refund/cancellation status and a reconciliation report against the designated source of truth.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FR-07 Dashboard</w:t>
            </w:r>
          </w:p>
        </w:tc>
        <w:tc>
          <w:tcPr>
            <w:tcW w:type="dxa" w:w="5112"/>
            <w:vAlign w:val="center"/>
          </w:tcPr>
          <w:p>
            <w:r>
              <w:t>Metrics include written definitions, freshness, data coverage and drill-down to source records. Do not calculate ROAS/CAC when required inputs are missing.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FR-08 Creative intelligence</w:t>
            </w:r>
          </w:p>
        </w:tc>
        <w:tc>
          <w:tcPr>
            <w:tcW w:type="dxa" w:w="5112"/>
            <w:vAlign w:val="center"/>
          </w:tcPr>
          <w:p>
            <w:r>
              <w:t>Creative variants link to campaign/ad-group and outcomes. Recommendations include objective, evidence, sample size, conversion maturity and uncertainty.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FR-09 Ad activation</w:t>
            </w:r>
          </w:p>
        </w:tc>
        <w:tc>
          <w:tcPr>
            <w:tcW w:type="dxa" w:w="5112"/>
            <w:vAlign w:val="center"/>
          </w:tcPr>
          <w:p>
            <w:r>
              <w:t>Later-stage activation supports only documented platform API operations, explicit approval, permission checks, spend guardrails, audit log and rollback where 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FR-10 SEO/AEO workflow</w:t>
            </w:r>
          </w:p>
        </w:tc>
        <w:tc>
          <w:tcPr>
            <w:tcW w:type="dxa" w:w="5112"/>
            <w:vAlign w:val="center"/>
          </w:tcPr>
          <w:p>
            <w:r>
              <w:t>Content opportunities map to query/intent and source evidence. Drafts pass factual, duplication, brand, metadata, link and schema checks; publishing is approval-gated.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FR-11 Content measurement</w:t>
            </w:r>
          </w:p>
        </w:tc>
        <w:tc>
          <w:tcPr>
            <w:tcW w:type="dxa" w:w="5112"/>
            <w:vAlign w:val="center"/>
          </w:tcPr>
          <w:p>
            <w:r>
              <w:t>Record content version, canonical URL, publish/update time and measurable post-publish search and conversion signals; disclose source coverage and latency.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FR-12 Tenant security</w:t>
            </w:r>
          </w:p>
        </w:tc>
        <w:tc>
          <w:tcPr>
            <w:tcW w:type="dxa" w:w="5112"/>
            <w:vAlign w:val="center"/>
          </w:tcPr>
          <w:p>
            <w:r>
              <w:t>Every request and background job is tenant-scoped. Cross-tenant tests cover API, database, object storage, caches, logs and exports.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FR-13 Operations</w:t>
            </w:r>
          </w:p>
        </w:tc>
        <w:tc>
          <w:tcPr>
            <w:tcW w:type="dxa" w:w="5112"/>
            <w:vAlign w:val="center"/>
          </w:tcPr>
          <w:p>
            <w:r>
              <w:t>Expose connector health, freshness, lag, error rate, retries, cost per tenant, backups, restore status and actionable alerts.</w:t>
            </w:r>
          </w:p>
        </w:tc>
      </w:tr>
    </w:tbl>
    <w:p>
      <w:pPr>
        <w:pStyle w:val="Heading1"/>
      </w:pPr>
      <w:r>
        <w:t>6. Canonical data model</w:t>
      </w:r>
    </w:p>
    <w:p>
      <w:r>
        <w:t>Minimum entities (logical model; implementation can evolve):</w:t>
      </w:r>
    </w:p>
    <w:p>
      <w:pPr>
        <w:pStyle w:val="ListBullet"/>
      </w:pPr>
      <w:r>
        <w:t>Tenant, User, Role/Permission, SourceConnection, CredentialReference.</w:t>
      </w:r>
    </w:p>
    <w:p>
      <w:pPr>
        <w:pStyle w:val="ListBullet"/>
      </w:pPr>
      <w:r>
        <w:t>Campaign, AdGroup, Ad, CreativeAsset, CreativeVersion, SpendMetric.</w:t>
      </w:r>
    </w:p>
    <w:p>
      <w:pPr>
        <w:pStyle w:val="ListBullet"/>
      </w:pPr>
      <w:r>
        <w:t>Touchpoint, Visitor/Identity, Lead, Account, Opportunity, Customer, ConversionEvent, Payment/RevenueEvent, RefundEvent.</w:t>
      </w:r>
    </w:p>
    <w:p>
      <w:pPr>
        <w:pStyle w:val="ListBullet"/>
      </w:pPr>
      <w:r>
        <w:t>ContentAsset, ContentVersion, Query/Keyword, SearchMetric, CrawlFinding, Publication, ContentConversion.</w:t>
      </w:r>
    </w:p>
    <w:p>
      <w:pPr>
        <w:pStyle w:val="ListBullet"/>
      </w:pPr>
      <w:r>
        <w:t>AttributionModelVersion, AttributionResult, Recommendation, Experiment, ActionApproval, ActionExecution, AuditEvent.</w:t>
      </w:r>
    </w:p>
    <w:p>
      <w:pPr>
        <w:pStyle w:val="ListBullet"/>
      </w:pPr>
      <w:r>
        <w:t>SyncRun, IngestionEvent, DeadLetterRecord, ReconciliationResult, UsageRecord.</w:t>
      </w:r>
    </w:p>
    <w:p>
      <w:r>
        <w:t>Common fields: tenant_id; internal immutable ID; source_system and source_record_id where applicable; event_time and ingested_at; schema_version; status; currency where relevant; provenance; idempotency key; created_at/updated_at. Define uniqueness constraints and retention rules. Do not use email alone as a universal identity key; identity stitching must be permission-aware and explainable.</w:t>
      </w:r>
    </w:p>
    <w:p>
      <w:pPr>
        <w:pStyle w:val="Heading1"/>
      </w:pPr>
      <w:r>
        <w:t>7. Reference architecture and technology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Decision / guardrail</w:t>
            </w:r>
          </w:p>
        </w:tc>
      </w:tr>
      <w:tr>
        <w:tc>
          <w:tcPr>
            <w:tcW w:type="dxa" w:w="5112"/>
          </w:tcPr>
          <w:p>
            <w:r>
              <w:t>Experience / application</w:t>
            </w:r>
          </w:p>
        </w:tc>
        <w:tc>
          <w:tcPr>
            <w:tcW w:type="dxa" w:w="5112"/>
          </w:tcPr>
          <w:p>
            <w:r>
              <w:t>Frappe may provide admin, workflow and portal scaffolding if it accelerates delivery. Keep attribution/decision logic in testable domain modules or services rather than embedding business rules only in UI workflows.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Keycloak/OIDC is viable. Validate issuer, audience, signature, expiry and tenant claims; enforce authorization at every service/data access boundary. Do not treat JWT signature validation alone as tenant isolation.</w:t>
            </w:r>
          </w:p>
        </w:tc>
      </w:tr>
      <w:tr>
        <w:tc>
          <w:tcPr>
            <w:tcW w:type="dxa" w:w="5112"/>
          </w:tcPr>
          <w:p>
            <w:r>
              <w:t>Operational data</w:t>
            </w:r>
          </w:p>
        </w:tc>
        <w:tc>
          <w:tcPr>
            <w:tcW w:type="dxa" w:w="5112"/>
          </w:tcPr>
          <w:p>
            <w:r>
              <w:t>PostgreSQL as the initial system of record for canonical entities, sync state, attribution results and audit records. Separate databases may be justified for isolation, but are not themselves a tenancy design.</w:t>
            </w:r>
          </w:p>
        </w:tc>
      </w:tr>
      <w:tr>
        <w:tc>
          <w:tcPr>
            <w:tcW w:type="dxa" w:w="5112"/>
          </w:tcPr>
          <w:p>
            <w:r>
              <w:t>Ingestion/orchestration</w:t>
            </w:r>
          </w:p>
        </w:tc>
        <w:tc>
          <w:tcPr>
            <w:tcW w:type="dxa" w:w="5112"/>
          </w:tcPr>
          <w:p>
            <w:r>
              <w:t>Start with scheduled syncs, webhooks and a durable queue appropriate to the chosen deployment. n8n is suitable for integration workflows, not as the sole source of truth for event state. Add Kafka only after throughput/replay requirements and operational capacity are measured.</w:t>
            </w:r>
          </w:p>
        </w:tc>
      </w:tr>
      <w:tr>
        <w:tc>
          <w:tcPr>
            <w:tcW w:type="dxa" w:w="5112"/>
          </w:tcPr>
          <w:p>
            <w:r>
              <w:t>Object/media storage</w:t>
            </w:r>
          </w:p>
        </w:tc>
        <w:tc>
          <w:tcPr>
            <w:tcW w:type="dxa" w:w="5112"/>
          </w:tcPr>
          <w:p>
            <w:r>
              <w:t>Use managed object storage where feasible, with encryption, lifecycle policies, scoped access and backup/recovery. RustFS can be evaluated where self-hosting or S3 compatibility is a real requirement.</w:t>
            </w:r>
          </w:p>
        </w:tc>
      </w:tr>
      <w:tr>
        <w:tc>
          <w:tcPr>
            <w:tcW w:type="dxa" w:w="5112"/>
          </w:tcPr>
          <w:p>
            <w:r>
              <w:t>Search/analytics</w:t>
            </w:r>
          </w:p>
        </w:tc>
        <w:tc>
          <w:tcPr>
            <w:tcW w:type="dxa" w:w="5112"/>
          </w:tcPr>
          <w:p>
            <w:r>
              <w:t>Start with SQL aggregates and a reporting model. Add OpenSearch for demonstrated text-search/indexing needs; do not use it as the financial source of truth.</w:t>
            </w:r>
          </w:p>
        </w:tc>
      </w:tr>
      <w:tr>
        <w:tc>
          <w:tcPr>
            <w:tcW w:type="dxa" w:w="5112"/>
          </w:tcPr>
          <w:p>
            <w:r>
              <w:t>LLM/content</w:t>
            </w:r>
          </w:p>
        </w:tc>
        <w:tc>
          <w:tcPr>
            <w:tcW w:type="dxa" w:w="5112"/>
          </w:tcPr>
          <w:p>
            <w:r>
              <w:t>Use provider abstraction, prompt/version tracking, source references, structured outputs, validation and cost budgets. Human approval remains required for ad publishing and content publication in the MVP.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One cloud and one repeatable environment first. Infrastructure-as-code, secret management, health checks, logging, alerting and restore tests are required. Multi-cloud/BYOC is a later commercial decision.</w:t>
            </w:r>
          </w:p>
        </w:tc>
      </w:tr>
    </w:tbl>
    <w:p>
      <w:pPr>
        <w:pStyle w:val="Heading1"/>
      </w:pPr>
      <w:r>
        <w:t>8. Three feedback loops</w:t>
      </w:r>
    </w:p>
    <w:p>
      <w:pPr>
        <w:pStyle w:val="Heading2"/>
      </w:pPr>
      <w:r>
        <w:t>A. Revenue attribution loop</w:t>
      </w:r>
    </w:p>
    <w:p>
      <w:r>
        <w:t>Capture permitted touchpoints → resolve identity with explicit confidence/limitations → sync CRM lifecycle → reconcile payments/revenue → calculate versioned attribution → expose coverage and discrepancies. Attribution is observational and must not be described as causal incrementality without an appropriate experiment.</w:t>
      </w:r>
    </w:p>
    <w:p>
      <w:pPr>
        <w:pStyle w:val="Heading2"/>
      </w:pPr>
      <w:r>
        <w:t>B. Ad creative and delivery loop</w:t>
      </w:r>
    </w:p>
    <w:p>
      <w:r>
        <w:t>Ingest spend/delivery metrics → join creative versions to mature conversion/revenue outcomes → apply minimum sample and delay rules → recommend a test/action → obtain approval → execute only supported API actions → log and measure against a baseline/control. Begin in recommendation-only mode.</w:t>
      </w:r>
    </w:p>
    <w:p>
      <w:pPr>
        <w:pStyle w:val="Heading2"/>
      </w:pPr>
      <w:r>
        <w:t>C. SEO/AEO content loop</w:t>
      </w:r>
    </w:p>
    <w:p>
      <w:r>
        <w:t>Collect search/crawl/content evidence → map query and intent to a content opportunity → generate sourced brief/draft → run quality and technical checks → human approval → publish → track indexing, search metrics, observable answer-engine mentions/citations where measurable, referral traffic and conversions → update only when evidence warrants it.</w:t>
      </w:r>
    </w:p>
    <w:p>
      <w:r>
        <w:t>Do not promise rankings. AEO measurements must name the engine, query set, geography, language, collection method, date and coverage; a single universal score is not defensible.</w:t>
      </w:r>
    </w:p>
    <w:p>
      <w:pPr>
        <w:pStyle w:val="Heading1"/>
      </w:pPr>
      <w:r>
        <w:t>9. Non-functional requirements and launch gates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Minimum gate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No cross-tenant access in automated negative tests; least-privilege source scopes; encrypted secrets; audit trail for access and actions.</w:t>
            </w:r>
          </w:p>
        </w:tc>
      </w:tr>
      <w:tr>
        <w:tc>
          <w:tcPr>
            <w:tcW w:type="dxa" w:w="5112"/>
          </w:tcPr>
          <w:p>
            <w:r>
              <w:t>Correctness</w:t>
            </w:r>
          </w:p>
        </w:tc>
        <w:tc>
          <w:tcPr>
            <w:tcW w:type="dxa" w:w="5112"/>
          </w:tcPr>
          <w:p>
            <w:r>
              <w:t>Duplicate events do not duplicate conversions/revenue; model version and source lineage are queryable.</w:t>
            </w:r>
          </w:p>
        </w:tc>
      </w:tr>
      <w:tr>
        <w:tc>
          <w:tcPr>
            <w:tcW w:type="dxa" w:w="5112"/>
          </w:tcPr>
          <w:p>
            <w:r>
              <w:t>Data freshness</w:t>
            </w:r>
          </w:p>
        </w:tc>
        <w:tc>
          <w:tcPr>
            <w:tcW w:type="dxa" w:w="5112"/>
          </w:tcPr>
          <w:p>
            <w:r>
              <w:t>Define per-connector freshness targets with design partners; expose stale data rather than silently presenting it as current.</w:t>
            </w:r>
          </w:p>
        </w:tc>
      </w:tr>
      <w:tr>
        <w:tc>
          <w:tcPr>
            <w:tcW w:type="dxa" w:w="5112"/>
          </w:tcPr>
          <w:p>
            <w:r>
              <w:t>Reliability</w:t>
            </w:r>
          </w:p>
        </w:tc>
        <w:tc>
          <w:tcPr>
            <w:tcW w:type="dxa" w:w="5112"/>
          </w:tcPr>
          <w:p>
            <w:r>
              <w:t>Retries are bounded; failures are visible; dead-letter/replay path works; backups restore successfully.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Set dashboard and sync latency targets after pilot data volumes are measured; avoid speculative global throughput claims.</w:t>
            </w:r>
          </w:p>
        </w:tc>
      </w:tr>
      <w:tr>
        <w:tc>
          <w:tcPr>
            <w:tcW w:type="dxa" w:w="5112"/>
          </w:tcPr>
          <w:p>
            <w:r>
              <w:t>Cost</w:t>
            </w:r>
          </w:p>
        </w:tc>
        <w:tc>
          <w:tcPr>
            <w:tcW w:type="dxa" w:w="5112"/>
          </w:tcPr>
          <w:p>
            <w:r>
              <w:t>Track infrastructure, API, LLM, storage, support and onboarding costs by tenant; define budgets and alerts.</w:t>
            </w:r>
          </w:p>
        </w:tc>
      </w:tr>
      <w:tr>
        <w:tc>
          <w:tcPr>
            <w:tcW w:type="dxa" w:w="5112"/>
          </w:tcPr>
          <w:p>
            <w:r>
              <w:t>Content safety/quality</w:t>
            </w:r>
          </w:p>
        </w:tc>
        <w:tc>
          <w:tcPr>
            <w:tcW w:type="dxa" w:w="5112"/>
          </w:tcPr>
          <w:p>
            <w:r>
              <w:t>No unreviewed publication in MVP; sources/claims and generated versions are retained; policy and brand checks are explicit.</w:t>
            </w:r>
          </w:p>
        </w:tc>
      </w:tr>
      <w:tr>
        <w:tc>
          <w:tcPr>
            <w:tcW w:type="dxa" w:w="5112"/>
          </w:tcPr>
          <w:p>
            <w:r>
              <w:t>Compliance</w:t>
            </w:r>
          </w:p>
        </w:tc>
        <w:tc>
          <w:tcPr>
            <w:tcW w:type="dxa" w:w="5112"/>
          </w:tcPr>
          <w:p>
            <w:r>
              <w:t>Document consent, retention, deletion, data processing roles, platform terms and region requirements with qualified review where needed.</w:t>
            </w:r>
          </w:p>
        </w:tc>
      </w:tr>
    </w:tbl>
    <w:p>
      <w:pPr>
        <w:pStyle w:val="Heading1"/>
      </w:pPr>
      <w:r>
        <w:t>10. Delivery plan, dependencies and gates</w:t>
      </w:r>
    </w:p>
    <w:p>
      <w:pPr>
        <w:pStyle w:val="Heading2"/>
      </w:pPr>
      <w:r>
        <w:t>Phase 0 — Discovery (1–2 weeks)</w:t>
      </w:r>
    </w:p>
    <w:p>
      <w:r>
        <w:t>ICP interviews, design partners, source access, event/revenue definitions, data sample and pricing interviews.</w:t>
      </w:r>
    </w:p>
    <w:p>
      <w:pPr>
        <w:pStyle w:val="IntenseQuote"/>
      </w:pPr>
      <w:r>
        <w:t>Gate: sample campaign → lead → customer/payment path can be mapped; buyer pain and pilot terms documented.</w:t>
      </w:r>
    </w:p>
    <w:p>
      <w:pPr>
        <w:pStyle w:val="Heading2"/>
      </w:pPr>
      <w:r>
        <w:t>Phase 1 — Foundation (2–4 weeks)</w:t>
      </w:r>
    </w:p>
    <w:p>
      <w:r>
        <w:t>Tenant security, canonical model, connector framework, single-cloud deployment, sync observability.</w:t>
      </w:r>
    </w:p>
    <w:p>
      <w:pPr>
        <w:pStyle w:val="IntenseQuote"/>
      </w:pPr>
      <w:r>
        <w:t>Gate: isolated tenants; repeatable deployment; retries/deduplication/replay and restore test pass.</w:t>
      </w:r>
    </w:p>
    <w:p>
      <w:pPr>
        <w:pStyle w:val="Heading2"/>
      </w:pPr>
      <w:r>
        <w:t>Phase 2 — Attribution MVP (3–5 weeks)</w:t>
      </w:r>
    </w:p>
    <w:p>
      <w:r>
        <w:t>Touchpoints, one attribution model, CRM/revenue sync, reconciliation and dashboard.</w:t>
      </w:r>
    </w:p>
    <w:p>
      <w:pPr>
        <w:pStyle w:val="IntenseQuote"/>
      </w:pPr>
      <w:r>
        <w:t>Gate: sampled revenue reconciles within agreed tolerance; every KPI drills to source; gaps are explicit.</w:t>
      </w:r>
    </w:p>
    <w:p>
      <w:pPr>
        <w:pStyle w:val="Heading2"/>
      </w:pPr>
      <w:r>
        <w:t>Phase 3 — Creative intelligence (2–4 weeks)</w:t>
      </w:r>
    </w:p>
    <w:p>
      <w:r>
        <w:t>Creative versioning, performance join, evidence-based recommendations, approvals.</w:t>
      </w:r>
    </w:p>
    <w:p>
      <w:pPr>
        <w:pStyle w:val="IntenseQuote"/>
      </w:pPr>
      <w:r>
        <w:t>Gate: recommendations show sample size and maturity; low-data cases abstain; no unauthorized live changes.</w:t>
      </w:r>
    </w:p>
    <w:p>
      <w:pPr>
        <w:pStyle w:val="Heading2"/>
      </w:pPr>
      <w:r>
        <w:t>Phase 4 — SEO/AEO workflow (3–5 weeks)</w:t>
      </w:r>
    </w:p>
    <w:p>
      <w:r>
        <w:t>Search diagnostics, brief/draft quality gate, one CMS publishing integration and outcome measurement.</w:t>
      </w:r>
    </w:p>
    <w:p>
      <w:pPr>
        <w:pStyle w:val="IntenseQuote"/>
      </w:pPr>
      <w:r>
        <w:t>Gate: traceable content lifecycle and quality checks; post-publish measurement works.</w:t>
      </w:r>
    </w:p>
    <w:p>
      <w:pPr>
        <w:pStyle w:val="Heading2"/>
      </w:pPr>
      <w:r>
        <w:t>Phase 5 — Hardening / scale (ongoing)</w:t>
      </w:r>
    </w:p>
    <w:p>
      <w:r>
        <w:t>SLOs, cost model, connector expansion, Kafka/OpenSearch decision, BYOC/marketplace business case.</w:t>
      </w:r>
    </w:p>
    <w:p>
      <w:pPr>
        <w:pStyle w:val="IntenseQuote"/>
      </w:pPr>
      <w:r>
        <w:t>Gate: measured usage or named customer demand justifies each added component.</w:t>
      </w:r>
    </w:p>
    <w:p>
      <w:r>
        <w:t>Schedule caveat: phase ranges are indicative elapsed-time ranges and may overlap; they are not a committed delivery estimate. Staffing, source API access, data quality and connector approval are not yet specified.</w:t>
      </w:r>
    </w:p>
    <w:p>
      <w:pPr>
        <w:pStyle w:val="Heading1"/>
      </w:pPr>
      <w:r>
        <w:t>11. Acceptance test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Required tests</w:t>
            </w:r>
          </w:p>
        </w:tc>
      </w:tr>
      <w:tr>
        <w:tc>
          <w:tcPr>
            <w:tcW w:type="dxa" w:w="5112"/>
          </w:tcPr>
          <w:p>
            <w:r>
              <w:t>Attribution</w:t>
            </w:r>
          </w:p>
        </w:tc>
        <w:tc>
          <w:tcPr>
            <w:tcW w:type="dxa" w:w="5112"/>
          </w:tcPr>
          <w:p>
            <w:r>
              <w:t>Test first/last/direct/multiple-touch journeys, expired windows, missing click IDs, late conversions and model version changes.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Reconcile sampled records against source totals; test refunds, cancellations, currencies and delayed payment events.</w:t>
            </w:r>
          </w:p>
        </w:tc>
      </w:tr>
      <w:tr>
        <w:tc>
          <w:tcPr>
            <w:tcW w:type="dxa" w:w="5112"/>
          </w:tcPr>
          <w:p>
            <w:r>
              <w:t>Ingestion</w:t>
            </w:r>
          </w:p>
        </w:tc>
        <w:tc>
          <w:tcPr>
            <w:tcW w:type="dxa" w:w="5112"/>
          </w:tcPr>
          <w:p>
            <w:r>
              <w:t>Replay webhook and scheduled sync payloads; confirm idempotency and observable failures.</w:t>
            </w:r>
          </w:p>
        </w:tc>
      </w:tr>
      <w:tr>
        <w:tc>
          <w:tcPr>
            <w:tcW w:type="dxa" w:w="5112"/>
          </w:tcPr>
          <w:p>
            <w:r>
              <w:t>Tenant isolation</w:t>
            </w:r>
          </w:p>
        </w:tc>
        <w:tc>
          <w:tcPr>
            <w:tcW w:type="dxa" w:w="5112"/>
          </w:tcPr>
          <w:p>
            <w:r>
              <w:t>Attempt cross-tenant reads/writes via API, background jobs, files, caches, reports and exports; all must be denied.</w:t>
            </w:r>
          </w:p>
        </w:tc>
      </w:tr>
      <w:tr>
        <w:tc>
          <w:tcPr>
            <w:tcW w:type="dxa" w:w="5112"/>
          </w:tcPr>
          <w:p>
            <w:r>
              <w:t>Ad recommendation</w:t>
            </w:r>
          </w:p>
        </w:tc>
        <w:tc>
          <w:tcPr>
            <w:tcW w:type="dxa" w:w="5112"/>
          </w:tcPr>
          <w:p>
            <w:r>
              <w:t>Test small samples, conversion lag, spend limits, conflicting signals and stale data; system must abstain when evidence is insufficient.</w:t>
            </w:r>
          </w:p>
        </w:tc>
      </w:tr>
      <w:tr>
        <w:tc>
          <w:tcPr>
            <w:tcW w:type="dxa" w:w="5112"/>
          </w:tcPr>
          <w:p>
            <w:r>
              <w:t>Ad activation</w:t>
            </w:r>
          </w:p>
        </w:tc>
        <w:tc>
          <w:tcPr>
            <w:tcW w:type="dxa" w:w="5112"/>
          </w:tcPr>
          <w:p>
            <w:r>
              <w:t>Use a test account and dry-run; verify approval, scopes, audit record, guardrails and rollback/compensation path.</w:t>
            </w:r>
          </w:p>
        </w:tc>
      </w:tr>
      <w:tr>
        <w:tc>
          <w:tcPr>
            <w:tcW w:type="dxa" w:w="5112"/>
          </w:tcPr>
          <w:p>
            <w:r>
              <w:t>SEO/AEO</w:t>
            </w:r>
          </w:p>
        </w:tc>
        <w:tc>
          <w:tcPr>
            <w:tcW w:type="dxa" w:w="5112"/>
          </w:tcPr>
          <w:p>
            <w:r>
              <w:t>Test unsupported claims, duplicate drafts, broken links, invalid metadata/schema, canonical URLs, approvals and version rollback.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Simulate expired credentials, rate limiting, partial outages, retries, dead-letter replay, stale data alert and backup restoration.</w:t>
            </w:r>
          </w:p>
        </w:tc>
      </w:tr>
    </w:tbl>
    <w:p>
      <w:pPr>
        <w:pStyle w:val="Heading1"/>
      </w:pPr>
      <w:r>
        <w:t>12. Product and commercial KPIs</w:t>
      </w:r>
    </w:p>
    <w:p>
      <w:pPr>
        <w:pStyle w:val="ListBullet"/>
      </w:pPr>
      <w:r>
        <w:t>Activation: time from credentials connected to first reconciled report; target to be set with pilot, initially aim for under 5 business days for supported integrations.</w:t>
      </w:r>
    </w:p>
    <w:p>
      <w:pPr>
        <w:pStyle w:val="ListBullet"/>
      </w:pPr>
      <w:r>
        <w:t>Data quality: percentage of conversions with usable source attribution; percentage of revenue reconciled; duplicate-event rate; stale-connector hours.</w:t>
      </w:r>
    </w:p>
    <w:p>
      <w:pPr>
        <w:pStyle w:val="ListBullet"/>
      </w:pPr>
      <w:r>
        <w:t>Value: agency reporting hours saved; number of actionable recommendations accepted; campaign/creative test throughput; qualified pipeline visibility.</w:t>
      </w:r>
    </w:p>
    <w:p>
      <w:pPr>
        <w:pStyle w:val="ListBullet"/>
      </w:pPr>
      <w:r>
        <w:t>SEO/AEO: content briefs accepted, publication cycle time, indexed pages where observable, target-query impressions/clicks, tracked answer-engine visibility with disclosed methodology, and qualified conversions.</w:t>
      </w:r>
    </w:p>
    <w:p>
      <w:pPr>
        <w:pStyle w:val="ListBullet"/>
      </w:pPr>
      <w:r>
        <w:t>Commercial: paid pilots, conversion to recurring subscription, gross margin by tenant, onboarding hours, support hours, monthly active accounts and renewal intent.</w:t>
      </w:r>
    </w:p>
    <w:p>
      <w:pPr>
        <w:pStyle w:val="ListBullet"/>
      </w:pPr>
      <w:r>
        <w:t>Guardrail: do not promise a particular ROAS lift or ranking improvement before controlled evidence exists.</w:t>
      </w:r>
    </w:p>
    <w:p>
      <w:pPr>
        <w:pStyle w:val="Heading1"/>
      </w:pPr>
      <w:r>
        <w:t>13. Pricing and unit economics</w:t>
      </w:r>
    </w:p>
    <w:p>
      <w:r>
        <w:t>Current CSV prices are hypotheses, not validated prices: Managed Core $1,500/month plus usage; Dedicated RevOps $3,500/month; BYOC $12,000/year plus $5,000 setup. Re-test each after pilots.</w:t>
      </w:r>
    </w:p>
    <w:p>
      <w:r>
        <w:t>Measure per-tenant direct cost: compute, database, object storage, ingestion/API usage, LLM tokens, observability, support, onboarding and customer-specific engineering. Model low/typical/high usage and report gross margin after direct delivery costs.</w:t>
      </w:r>
    </w:p>
    <w:p>
      <w:r>
        <w:t>Avoid charging customers in opaque internal units such as Kafka streams or OpenSearch scans. Prefer comprehensible limits such as connected accounts, managed sites, monthly events/data volume, content workflow volume and support level, with clear overages.</w:t>
      </w:r>
    </w:p>
    <w:p>
      <w:r>
        <w:t>Example only: $1,500 revenue minus $450 direct costs = 70% gross margin before other operating expenses. If direct support/onboarding rises to $600 additional per month, margin becomes 30%. Replace assumptions with pilot measurements.</w:t>
      </w:r>
    </w:p>
    <w:p>
      <w:pPr>
        <w:pStyle w:val="Heading1"/>
      </w:pPr>
      <w:r>
        <w:t>14. Risks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Attribution gaps due to browser/consent/platform limits</w:t>
            </w:r>
          </w:p>
        </w:tc>
        <w:tc>
          <w:tcPr>
            <w:tcW w:type="dxa" w:w="5112"/>
          </w:tcPr>
          <w:p>
            <w:r>
              <w:t>Show coverage and unmatched journeys; do not infer missing identity; document consent and source limitations.</w:t>
            </w:r>
          </w:p>
        </w:tc>
      </w:tr>
      <w:tr>
        <w:tc>
          <w:tcPr>
            <w:tcW w:type="dxa" w:w="5112"/>
          </w:tcPr>
          <w:p>
            <w:r>
              <w:t>Long conversion cycles and sparse data</w:t>
            </w:r>
          </w:p>
        </w:tc>
        <w:tc>
          <w:tcPr>
            <w:tcW w:type="dxa" w:w="5112"/>
          </w:tcPr>
          <w:p>
            <w:r>
              <w:t>Use maturity windows, minimum sample thresholds and recommendation-only mode; don't overreact to early data.</w:t>
            </w:r>
          </w:p>
        </w:tc>
      </w:tr>
      <w:tr>
        <w:tc>
          <w:tcPr>
            <w:tcW w:type="dxa" w:w="5112"/>
          </w:tcPr>
          <w:p>
            <w:r>
              <w:t>Connector API changes/rate limits</w:t>
            </w:r>
          </w:p>
        </w:tc>
        <w:tc>
          <w:tcPr>
            <w:tcW w:type="dxa" w:w="5112"/>
          </w:tcPr>
          <w:p>
            <w:r>
              <w:t>Version connectors, monitor failures, bound retries, provide replay and customer-visible freshness.</w:t>
            </w:r>
          </w:p>
        </w:tc>
      </w:tr>
      <w:tr>
        <w:tc>
          <w:tcPr>
            <w:tcW w:type="dxa" w:w="5112"/>
          </w:tcPr>
          <w:p>
            <w:r>
              <w:t>Cross-tenant data exposure</w:t>
            </w:r>
          </w:p>
        </w:tc>
        <w:tc>
          <w:tcPr>
            <w:tcW w:type="dxa" w:w="5112"/>
          </w:tcPr>
          <w:p>
            <w:r>
              <w:t>Tenant-scoped authorization at every boundary, secret isolation, negative tests and audit logs.</w:t>
            </w:r>
          </w:p>
        </w:tc>
      </w:tr>
      <w:tr>
        <w:tc>
          <w:tcPr>
            <w:tcW w:type="dxa" w:w="5112"/>
          </w:tcPr>
          <w:p>
            <w:r>
              <w:t>AI content quality or policy failure</w:t>
            </w:r>
          </w:p>
        </w:tc>
        <w:tc>
          <w:tcPr>
            <w:tcW w:type="dxa" w:w="5112"/>
          </w:tcPr>
          <w:p>
            <w:r>
              <w:t>Evidence-linked drafts, validation, editor approval, versioning and rollback.</w:t>
            </w:r>
          </w:p>
        </w:tc>
      </w:tr>
      <w:tr>
        <w:tc>
          <w:tcPr>
            <w:tcW w:type="dxa" w:w="5112"/>
          </w:tcPr>
          <w:p>
            <w:r>
              <w:t>Unprofitable service delivery</w:t>
            </w:r>
          </w:p>
        </w:tc>
        <w:tc>
          <w:tcPr>
            <w:tcW w:type="dxa" w:w="5112"/>
          </w:tcPr>
          <w:p>
            <w:r>
              <w:t>Measure onboarding/support, constrain custom work, tier SLAs and price against observed cost.</w:t>
            </w:r>
          </w:p>
        </w:tc>
      </w:tr>
      <w:tr>
        <w:tc>
          <w:tcPr>
            <w:tcW w:type="dxa" w:w="5112"/>
          </w:tcPr>
          <w:p>
            <w:r>
              <w:t>Premature infrastructure complexity</w:t>
            </w:r>
          </w:p>
        </w:tc>
        <w:tc>
          <w:tcPr>
            <w:tcW w:type="dxa" w:w="5112"/>
          </w:tcPr>
          <w:p>
            <w:r>
              <w:t>Architecture decision records with measured trigger thresholds before Kafka, OpenSearch, multi-cloud or marketplace investments.</w:t>
            </w:r>
          </w:p>
        </w:tc>
      </w:tr>
    </w:tbl>
    <w:p>
      <w:pPr>
        <w:pStyle w:val="Heading1"/>
      </w:pPr>
      <w:r>
        <w:t>15. Open decisions before engineering commitment</w:t>
      </w:r>
    </w:p>
    <w:p>
      <w:pPr>
        <w:pStyle w:val="ListBullet"/>
      </w:pPr>
      <w:r>
        <w:t>Which initial agency segment and geography will be served?</w:t>
      </w:r>
    </w:p>
    <w:p>
      <w:pPr>
        <w:pStyle w:val="ListBullet"/>
      </w:pPr>
      <w:r>
        <w:t>Which single ad platform, CRM, revenue source and CMS/search source are available through a real design partner?</w:t>
      </w:r>
    </w:p>
    <w:p>
      <w:pPr>
        <w:pStyle w:val="ListBullet"/>
      </w:pPr>
      <w:r>
        <w:t>Is the primary conversion a qualified lead, won deal, cash received or recognized revenue?</w:t>
      </w:r>
    </w:p>
    <w:p>
      <w:pPr>
        <w:pStyle w:val="ListBullet"/>
      </w:pPr>
      <w:r>
        <w:t>Which attribution model and lookback window will the pilot use?</w:t>
      </w:r>
    </w:p>
    <w:p>
      <w:pPr>
        <w:pStyle w:val="ListBullet"/>
      </w:pPr>
      <w:r>
        <w:t>What customer consent, data processing, retention and deletion requirements apply?</w:t>
      </w:r>
    </w:p>
    <w:p>
      <w:pPr>
        <w:pStyle w:val="ListBullet"/>
      </w:pPr>
      <w:r>
        <w:t>What are the engineering team size, seniority, available person-days and existing code/assets?</w:t>
      </w:r>
    </w:p>
    <w:p>
      <w:pPr>
        <w:pStyle w:val="ListBullet"/>
      </w:pPr>
      <w:r>
        <w:t>What minimum gross margin and onboarding/support limits are required?</w:t>
      </w:r>
    </w:p>
    <w:p>
      <w:pPr>
        <w:pStyle w:val="ListBullet"/>
      </w:pPr>
      <w:r>
        <w:t>Which customer-backed evidence would justify auto-activation, Kafka/OpenSearch, BYOC or marketplace work?</w:t>
      </w:r>
    </w:p>
    <w:p>
      <w:pPr>
        <w:pStyle w:val="Heading1"/>
      </w:pPr>
      <w:r>
        <w:t>Appendix A — Changes to the original CSV plan</w:t>
      </w:r>
    </w:p>
    <w:p>
      <w:r>
        <w:t>The revised CSV is an outcome-led backlog. It preserves the original pricing hypotheses but reframes infrastructure work as conditional, adds missing attribution/creative/SEO-AEO/security/data-model requirements, provides dependencies and acceptance criteria, and marks priorities. Person-day figures are indicative ranges for planning only and should be recalibrated after architecture and staffing review.</w:t>
      </w:r>
    </w:p>
    <w:p>
      <w:r>
        <w:t>Original components retained as conditional options: Keycloak/OIDC, PostgreSQL, Frappe, n8n, RustFS, Kafka and OpenSearch. They are not all mandatory for MVP; selection depends on workload, deployment and customer constraints.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KeelStream | Working draft — validate assumptions with design partners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