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Calibri" w:hAnsi="Calibri"/>
          <w:b/>
          <w:color w:val="111827"/>
          <w:sz w:val="38"/>
        </w:rPr>
        <w:t>PRD: AA Firewall</w:t>
      </w:r>
    </w:p>
    <w:p>
      <w:pPr>
        <w:spacing w:after="160"/>
      </w:pPr>
      <w:r>
        <w:rPr>
          <w:rFonts w:ascii="Calibri" w:hAnsi="Calibri"/>
          <w:b w:val="0"/>
          <w:color w:val="5F6B73"/>
          <w:sz w:val="19"/>
        </w:rPr>
        <w:t>Secure behind-the-firewall agent framework for natural-language internal operations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6F4EF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 xml:space="preserve">Product thesis: </w:t>
            </w:r>
            <w:r>
              <w:rPr>
                <w:rFonts w:ascii="Calibri" w:hAnsi="Calibri"/>
                <w:b w:val="0"/>
                <w:color w:val="111827"/>
                <w:sz w:val="18"/>
              </w:rPr>
              <w:t>Enterprises need agents that act across private systems without becoming unbounded authority. AA Firewall turns intent into typed, policy-gated, auditable actions.</w:t>
            </w:r>
          </w:p>
        </w:tc>
      </w:tr>
    </w:tbl>
    <w:p>
      <w:pPr>
        <w:spacing w:after="20"/>
      </w:pPr>
    </w:p>
    <w:p>
      <w:pPr>
        <w:spacing w:before="140" w:after="60"/>
      </w:pPr>
      <w:r>
        <w:rPr>
          <w:rFonts w:ascii="Calibri" w:hAnsi="Calibri"/>
          <w:b/>
          <w:color w:val="2E74B5"/>
          <w:sz w:val="26"/>
        </w:rPr>
        <w:t>Target user, buyer, and urgency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232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5"/>
              </w:rPr>
              <w:t>Primary users</w:t>
            </w:r>
          </w:p>
        </w:tc>
        <w:tc>
          <w:tcPr>
            <w:tcW w:type="dxa" w:w="7128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IT Ops, SecOps, and internal platform teams responsible for access cleanup, ticket transfer, and legacy system administration.</w:t>
            </w:r>
          </w:p>
        </w:tc>
      </w:tr>
      <w:tr>
        <w:tc>
          <w:tcPr>
            <w:tcW w:type="dxa" w:w="2232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5"/>
              </w:rPr>
              <w:t>Economic buyer</w:t>
            </w:r>
          </w:p>
        </w:tc>
        <w:tc>
          <w:tcPr>
            <w:tcW w:type="dxa" w:w="7128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CIO, CISO, or VP Internal Tools at enterprises with fragmented systems, audit pressure, and high operational-error cost.</w:t>
            </w:r>
          </w:p>
        </w:tc>
      </w:tr>
      <w:tr>
        <w:tc>
          <w:tcPr>
            <w:tcW w:type="dxa" w:w="2232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5"/>
              </w:rPr>
              <w:t>Urgency</w:t>
            </w:r>
          </w:p>
        </w:tc>
        <w:tc>
          <w:tcPr>
            <w:tcW w:type="dxa" w:w="7128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827"/>
                <w:sz w:val="15"/>
              </w:rPr>
              <w:t>Offboarding failures are operational and regulatory: access can remain active, customer work can lose an owner, and evidence may be missing.</w:t>
            </w:r>
          </w:p>
        </w:tc>
      </w:tr>
    </w:tbl>
    <w:p>
      <w:pPr>
        <w:spacing w:after="20"/>
      </w:pPr>
    </w:p>
    <w:p>
      <w:pPr>
        <w:spacing w:before="140" w:after="60"/>
      </w:pPr>
      <w:r>
        <w:rPr>
          <w:rFonts w:ascii="Calibri" w:hAnsi="Calibri"/>
          <w:b/>
          <w:color w:val="2E74B5"/>
          <w:sz w:val="26"/>
        </w:rPr>
        <w:t>Prototype wedge</w:t>
      </w:r>
    </w:p>
    <w:p>
      <w:pPr>
        <w:spacing w:after="80" w:line="252" w:lineRule="auto"/>
      </w:pPr>
      <w:r>
        <w:rPr>
          <w:rFonts w:ascii="Calibri" w:hAnsi="Calibri"/>
          <w:b w:val="0"/>
          <w:color w:val="111827"/>
          <w:sz w:val="17"/>
        </w:rPr>
        <w:t>The wedge is employee offboarding: frequent, access-sensitive, compliance-relevant, and naturally multi-system. The user gives one request to offboard Alex Chen; the system creates a typed plan, executes safe reads, waits for approval, then performs scoped writes.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c>
          <w:tcPr>
            <w:tcW w:type="dxa" w:w="1694"/>
            <w:shd w:fill="E6F4EF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Offboarding</w:t>
            </w:r>
          </w:p>
        </w:tc>
        <w:tc>
          <w:tcPr>
            <w:tcW w:type="dxa" w:w="1694"/>
            <w:shd w:fill="FFFFFF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Access reviews</w:t>
            </w:r>
          </w:p>
        </w:tc>
        <w:tc>
          <w:tcPr>
            <w:tcW w:type="dxa" w:w="1694"/>
            <w:shd w:fill="E6F4EF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Vendor onboarding</w:t>
            </w:r>
          </w:p>
        </w:tc>
        <w:tc>
          <w:tcPr>
            <w:tcW w:type="dxa" w:w="1694"/>
            <w:shd w:fill="FFFFFF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Finance ops</w:t>
            </w:r>
          </w:p>
        </w:tc>
        <w:tc>
          <w:tcPr>
            <w:tcW w:type="dxa" w:w="1694"/>
            <w:shd w:fill="E6F4EF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Compliance evidence</w:t>
            </w:r>
          </w:p>
        </w:tc>
        <w:tc>
          <w:tcPr>
            <w:tcW w:type="dxa" w:w="1694"/>
            <w:shd w:fill="FFFFFF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4D78"/>
                <w:sz w:val="14"/>
              </w:rPr>
              <w:t>Agent control plane</w:t>
            </w:r>
          </w:p>
        </w:tc>
      </w:tr>
    </w:tbl>
    <w:p>
      <w:pPr>
        <w:spacing w:after="20"/>
      </w:pPr>
    </w:p>
    <w:p>
      <w:pPr>
        <w:spacing w:before="140" w:after="60"/>
      </w:pPr>
      <w:r>
        <w:rPr>
          <w:rFonts w:ascii="Calibri" w:hAnsi="Calibri"/>
          <w:b/>
          <w:color w:val="2E74B5"/>
          <w:sz w:val="26"/>
        </w:rPr>
        <w:t>What the demo proves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088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Proof area</w:t>
            </w:r>
          </w:p>
        </w:tc>
        <w:tc>
          <w:tcPr>
            <w:tcW w:type="dxa" w:w="7272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6"/>
              </w:rPr>
              <w:t>Reviewer-visible evidence</w:t>
            </w:r>
          </w:p>
        </w:tc>
      </w:tr>
      <w:tr>
        <w:tc>
          <w:tcPr>
            <w:tcW w:type="dxa" w:w="5083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Real system state</w:t>
            </w:r>
          </w:p>
        </w:tc>
        <w:tc>
          <w:tcPr>
            <w:tcW w:type="dxa" w:w="5083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Live Systems shows Internal DB, REST Ticketing, GraphQL Directory, and Legacy Billing before and after approval.</w:t>
            </w:r>
          </w:p>
        </w:tc>
      </w:tr>
      <w:tr>
        <w:tc>
          <w:tcPr>
            <w:tcW w:type="dxa" w:w="5083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Scoped authority</w:t>
            </w:r>
          </w:p>
        </w:tc>
        <w:tc>
          <w:tcPr>
            <w:tcW w:type="dxa" w:w="5083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Capabilities bind run, actor, tool, action, resource, and scope. Security Probe shows 401, 403, and 200 outcomes.</w:t>
            </w:r>
          </w:p>
        </w:tc>
      </w:tr>
      <w:tr>
        <w:tc>
          <w:tcPr>
            <w:tcW w:type="dxa" w:w="5083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Human control</w:t>
            </w:r>
          </w:p>
        </w:tc>
        <w:tc>
          <w:tcPr>
            <w:tcW w:type="dxa" w:w="5083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Destructive writes wait behind one honest batch approval gate.</w:t>
            </w:r>
          </w:p>
        </w:tc>
      </w:tr>
      <w:tr>
        <w:tc>
          <w:tcPr>
            <w:tcW w:type="dxa" w:w="5083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Auditability</w:t>
            </w:r>
          </w:p>
        </w:tc>
        <w:tc>
          <w:tcPr>
            <w:tcW w:type="dxa" w:w="5083"/>
            <w:tcBorders>
              <w:top w:val="single" w:sz="4" w:space="0" w:color="D8DDD8"/>
              <w:left w:val="single" w:sz="4" w:space="0" w:color="D8DDD8"/>
              <w:bottom w:val="single" w:sz="4" w:space="0" w:color="D8DDD8"/>
              <w:right w:val="single" w:sz="4" w:space="0" w:color="D8DDD8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11827"/>
                <w:sz w:val="16"/>
              </w:rPr>
              <w:t>Evidence export includes approvals, capabilities, tool calls, audit replay, root hash, and redacted before/after diffs.</w:t>
            </w:r>
          </w:p>
        </w:tc>
      </w:tr>
    </w:tbl>
    <w:p>
      <w:pPr>
        <w:spacing w:after="20"/>
      </w:pPr>
    </w:p>
    <w:p>
      <w:pPr>
        <w:spacing w:before="140" w:after="60"/>
      </w:pPr>
      <w:r>
        <w:rPr>
          <w:rFonts w:ascii="Calibri" w:hAnsi="Calibri"/>
          <w:b/>
          <w:color w:val="2E74B5"/>
          <w:sz w:val="26"/>
        </w:rPr>
        <w:t>Success criteria</w:t>
      </w:r>
    </w:p>
    <w:p>
      <w:pPr>
        <w:pStyle w:val="ListBullet"/>
        <w:spacing w:after="40"/>
        <w:ind w:left="346" w:hanging="173"/>
      </w:pPr>
      <w:r>
        <w:rPr>
          <w:rFonts w:ascii="Calibri" w:hAnsi="Calibri"/>
          <w:b w:val="0"/>
          <w:color w:val="111827"/>
          <w:sz w:val="16"/>
        </w:rPr>
        <w:t>Reviewer can run locally with npm run dev and inspect source code as build evidence.</w:t>
      </w:r>
    </w:p>
    <w:p>
      <w:pPr>
        <w:pStyle w:val="ListBullet"/>
        <w:spacing w:after="40"/>
        <w:ind w:left="346" w:hanging="173"/>
      </w:pPr>
      <w:r>
        <w:rPr>
          <w:rFonts w:ascii="Calibri" w:hAnsi="Calibri"/>
          <w:b w:val="0"/>
          <w:color w:val="111827"/>
          <w:sz w:val="16"/>
        </w:rPr>
        <w:t>Happy path changes backend state through gated connector operations, not dashboard-only state.</w:t>
      </w:r>
    </w:p>
    <w:p>
      <w:pPr>
        <w:pStyle w:val="ListBullet"/>
        <w:spacing w:after="40"/>
        <w:ind w:left="346" w:hanging="173"/>
      </w:pPr>
      <w:r>
        <w:rPr>
          <w:rFonts w:ascii="Calibri" w:hAnsi="Calibri"/>
          <w:b w:val="0"/>
          <w:color w:val="111827"/>
          <w:sz w:val="16"/>
        </w:rPr>
        <w:t>Unauthorized actors are blocked before destructive capabilities mint.</w:t>
      </w:r>
    </w:p>
    <w:p>
      <w:pPr>
        <w:pStyle w:val="ListBullet"/>
        <w:spacing w:after="40"/>
        <w:ind w:left="346" w:hanging="173"/>
      </w:pPr>
      <w:r>
        <w:rPr>
          <w:rFonts w:ascii="Calibri" w:hAnsi="Calibri"/>
          <w:b w:val="0"/>
          <w:color w:val="111827"/>
          <w:sz w:val="16"/>
        </w:rPr>
        <w:t>Negative demos cover wrong authority, prompt-injection containment, and REST retry recovery.</w:t>
      </w:r>
    </w:p>
    <w:p>
      <w:pPr>
        <w:spacing w:before="140" w:after="60"/>
      </w:pPr>
      <w:r>
        <w:rPr>
          <w:rFonts w:ascii="Calibri" w:hAnsi="Calibri"/>
          <w:b/>
          <w:color w:val="2E74B5"/>
          <w:sz w:val="26"/>
        </w:rPr>
        <w:t>Platform path and non-goals</w:t>
      </w:r>
    </w:p>
    <w:p>
      <w:pPr>
        <w:spacing w:after="0" w:line="252" w:lineRule="auto"/>
      </w:pPr>
      <w:r>
        <w:rPr>
          <w:rFonts w:ascii="Calibri" w:hAnsi="Calibri"/>
          <w:b w:val="0"/>
          <w:color w:val="111827"/>
          <w:sz w:val="17"/>
        </w:rPr>
        <w:t>The platform expands from offboarding into adjacent access and ownership workflows: quarterly access reviews, vendor onboarding, mailbox or queue reassignment, finance exception cleanup, and audit evidence collection. Each reuses the same control plane while adding connectors and workflow templates. Real OIDC/SAML/LDAP, production connector marketplace, OPA/Cedar policy authoring, HA/scaling, secrets rotation, and certification are future work, not prototype claims.</w:t>
      </w:r>
    </w:p>
    <w:sectPr w:rsidR="00FC693F" w:rsidRPr="0006063C" w:rsidSect="00034616">
      <w:footerReference w:type="default" r:id="rId9"/>
      <w:pgSz w:w="12240" w:h="15840"/>
      <w:pgMar w:top="835" w:right="1037" w:bottom="835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F6B73"/>
        <w:sz w:val="15"/>
      </w:rPr>
      <w:t>AA Firewall PRD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