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11827"/>
          <w:sz w:val="38"/>
        </w:rPr>
        <w:t>TDD: AA Firewall</w:t>
      </w:r>
    </w:p>
    <w:p>
      <w:pPr>
        <w:spacing w:after="160"/>
      </w:pPr>
      <w:r>
        <w:rPr>
          <w:rFonts w:ascii="Calibri" w:hAnsi="Calibri"/>
          <w:b w:val="0"/>
          <w:color w:val="5F6B73"/>
          <w:sz w:val="19"/>
        </w:rPr>
        <w:t>Two-page technical plan: architecture, auth, connectors, orchestration, audit, and verification</w:t>
      </w: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Architecture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  <w:shd w:fill="E8EEF5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Browser UI</w:t>
            </w:r>
          </w:p>
        </w:tc>
        <w:tc>
          <w:tcPr>
            <w:tcW w:type="dxa" w:w="1152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API routes</w:t>
            </w:r>
          </w:p>
        </w:tc>
        <w:tc>
          <w:tcPr>
            <w:tcW w:type="dxa" w:w="1152"/>
            <w:shd w:fill="E8EEF5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Session/RBAC</w:t>
            </w:r>
          </w:p>
        </w:tc>
        <w:tc>
          <w:tcPr>
            <w:tcW w:type="dxa" w:w="1152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Workflow</w:t>
            </w:r>
          </w:p>
        </w:tc>
        <w:tc>
          <w:tcPr>
            <w:tcW w:type="dxa" w:w="1152"/>
            <w:shd w:fill="E8EEF5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Planner</w:t>
            </w:r>
          </w:p>
        </w:tc>
        <w:tc>
          <w:tcPr>
            <w:tcW w:type="dxa" w:w="1152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Policy</w:t>
            </w:r>
          </w:p>
        </w:tc>
        <w:tc>
          <w:tcPr>
            <w:tcW w:type="dxa" w:w="1152"/>
            <w:shd w:fill="E8EEF5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Capabilities</w:t>
            </w:r>
          </w:p>
        </w:tc>
        <w:tc>
          <w:tcPr>
            <w:tcW w:type="dxa" w:w="1152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Internal routes</w:t>
            </w:r>
          </w:p>
        </w:tc>
        <w:tc>
          <w:tcPr>
            <w:tcW w:type="dxa" w:w="1152"/>
            <w:shd w:fill="E8EEF5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Audit/evidence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11827"/>
          <w:sz w:val="17"/>
        </w:rPr>
        <w:t>AA Firewall is a Next.js TypeScript prototype for secure agent execution behind a corporate firewall. The UI demonstrates the workflow, but authority is enforced server-side: signed session identity, RBAC, policy evaluation, capability signing, connector execution, approval, idempotency, audit durability, and evidence export all live in deterministic code.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Planner boundary: </w:t>
            </w:r>
            <w:r>
              <w:rPr>
                <w:rFonts w:ascii="Calibri" w:hAnsi="Calibri"/>
                <w:b w:val="0"/>
                <w:color w:val="111827"/>
                <w:sz w:val="16"/>
              </w:rPr>
              <w:t>OpenRouter can produce structured JSON using minimax/minimax-m3, but model output is only a proposal. Missing keys, malformed output, or schema failure fall back to a deterministic plan.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Execution and data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Prompt</w:t>
            </w:r>
          </w:p>
        </w:tc>
        <w:tc>
          <w:tcPr>
            <w:tcW w:type="dxa" w:w="1296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Typed plan</w:t>
            </w:r>
          </w:p>
        </w:tc>
        <w:tc>
          <w:tcPr>
            <w:tcW w:type="dxa" w:w="1296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Read caps</w:t>
            </w:r>
          </w:p>
        </w:tc>
        <w:tc>
          <w:tcPr>
            <w:tcW w:type="dxa" w:w="1296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Connector reads</w:t>
            </w:r>
          </w:p>
        </w:tc>
        <w:tc>
          <w:tcPr>
            <w:tcW w:type="dxa" w:w="1296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Approval</w:t>
            </w:r>
          </w:p>
        </w:tc>
        <w:tc>
          <w:tcPr>
            <w:tcW w:type="dxa" w:w="1296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Write caps</w:t>
            </w:r>
          </w:p>
        </w:tc>
        <w:tc>
          <w:tcPr>
            <w:tcW w:type="dxa" w:w="1296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Connector writes</w:t>
            </w:r>
          </w:p>
        </w:tc>
        <w:tc>
          <w:tcPr>
            <w:tcW w:type="dxa" w:w="1296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Evidence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Run and orchestration records</w:t>
            </w:r>
          </w:p>
        </w:tc>
        <w:tc>
          <w:tcPr>
            <w:tcW w:type="dxa" w:w="482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Seeded enterprise stand-ins</w:t>
            </w:r>
          </w:p>
        </w:tc>
      </w:tr>
      <w:tr>
        <w:tc>
          <w:tcPr>
            <w:tcW w:type="dxa" w:w="482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• runs, approvals, capabilities</w:t>
            </w:r>
            <w:r>
              <w:br/>
            </w:r>
            <w:r>
              <w:rPr>
                <w:rFonts w:ascii="Calibri" w:hAnsi="Calibri"/>
                <w:b w:val="0"/>
                <w:color w:val="111827"/>
                <w:sz w:val="15"/>
              </w:rPr>
              <w:t>• tool_calls, operations</w:t>
            </w:r>
            <w:r>
              <w:br/>
            </w:r>
            <w:r>
              <w:rPr>
                <w:rFonts w:ascii="Calibri" w:hAnsi="Calibri"/>
                <w:b w:val="0"/>
                <w:color w:val="111827"/>
                <w:sz w:val="15"/>
              </w:rPr>
              <w:t>• connector_activity, audit_events</w:t>
            </w:r>
          </w:p>
        </w:tc>
        <w:tc>
          <w:tcPr>
            <w:tcW w:type="dxa" w:w="482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• employees, access_grants</w:t>
            </w:r>
            <w:r>
              <w:br/>
            </w:r>
            <w:r>
              <w:rPr>
                <w:rFonts w:ascii="Calibri" w:hAnsi="Calibri"/>
                <w:b w:val="0"/>
                <w:color w:val="111827"/>
                <w:sz w:val="15"/>
              </w:rPr>
              <w:t>• tickets, directory_edges</w:t>
            </w:r>
            <w:r>
              <w:br/>
            </w:r>
            <w:r>
              <w:rPr>
                <w:rFonts w:ascii="Calibri" w:hAnsi="Calibri"/>
                <w:b w:val="0"/>
                <w:color w:val="111827"/>
                <w:sz w:val="15"/>
              </w:rPr>
              <w:t>• legacy_billing, internal_call_frames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11827"/>
          <w:sz w:val="16"/>
        </w:rPr>
        <w:t>Run states are created, planning, awaiting_approval, executing, paused, retrying, completed, blocked, and denied. The UI reads both the workflow snapshot and the Live Systems snapshot, so visible success state comes from backend rows and protocol frames.</w:t>
      </w: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Auth and security model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Session boundary</w:t>
            </w:r>
          </w:p>
        </w:tc>
        <w:tc>
          <w:tcPr>
            <w:tcW w:type="dxa" w:w="770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Start-run mints a signed HTTP-only demo session. Protected workflow routes derive actor identity from that cookie, not request JSON.</w:t>
            </w:r>
          </w:p>
        </w:tc>
      </w:tr>
      <w:tr>
        <w:tc>
          <w:tcPr>
            <w:tcW w:type="dxa" w:w="208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RBAC</w:t>
            </w:r>
          </w:p>
        </w:tc>
        <w:tc>
          <w:tcPr>
            <w:tcW w:type="dxa" w:w="770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Roles are it_admin, manager, employee, and security_auditor. Deny by default; destructive writes require IT admin approval.</w:t>
            </w:r>
          </w:p>
        </w:tc>
      </w:tr>
      <w:tr>
        <w:tc>
          <w:tcPr>
            <w:tcW w:type="dxa" w:w="208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Capability shape</w:t>
            </w:r>
          </w:p>
        </w:tc>
        <w:tc>
          <w:tcPr>
            <w:tcW w:type="dxa" w:w="770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HMAC-signed, short-lived, and bound to run, actor, tool, action, resource, scope, expiry, and optional approval id.</w:t>
            </w:r>
          </w:p>
        </w:tc>
      </w:tr>
      <w:tr>
        <w:tc>
          <w:tcPr>
            <w:tcW w:type="dxa" w:w="208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Probe proof</w:t>
            </w:r>
          </w:p>
        </w:tc>
        <w:tc>
          <w:tcPr>
            <w:tcW w:type="dxa" w:w="770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Missing bearer token returns 401; wrong tool/resource/scope returns 403; valid write capability returns 200.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11827"/>
          <w:sz w:val="16"/>
        </w:rPr>
        <w:t>Model output, retrieved ticket content, and connector responses are untrusted data. The prompt-injection fixture contains hostile ticket text, but no unrelated CEO capability or tool call is minted.</w:t>
      </w: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color w:val="2E74B5"/>
          <w:sz w:val="26"/>
        </w:rPr>
        <w:t>Connector strategy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System</w:t>
            </w:r>
          </w:p>
        </w:tc>
        <w:tc>
          <w:tcPr>
            <w:tcW w:type="dxa" w:w="237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Interface</w:t>
            </w:r>
          </w:p>
        </w:tc>
        <w:tc>
          <w:tcPr>
            <w:tcW w:type="dxa" w:w="561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Operation proven</w:t>
            </w:r>
          </w:p>
        </w:tc>
      </w:tr>
      <w:tr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Internal DB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SQLite-backed API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Read employee/access; revoke SaaS and database grants.</w:t>
            </w:r>
          </w:p>
        </w:tc>
      </w:tr>
      <w:tr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REST Ticketing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REST routes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Read open tickets; transfer ownership to Priya.</w:t>
            </w:r>
          </w:p>
        </w:tc>
      </w:tr>
      <w:tr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GraphQL Directory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graphql schema execution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Resolve Alex to Priya manager relationship.</w:t>
            </w:r>
          </w:p>
        </w:tc>
      </w:tr>
      <w:tr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Legacy Billing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Fixed-width adapter</w:t>
            </w:r>
          </w:p>
        </w:tc>
        <w:tc>
          <w:tcPr>
            <w:tcW w:type="dxa" w:w="3456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Parse and disable redacted billing record.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4"/>
              </w:rPr>
              <w:t>Representative internal route</w:t>
            </w:r>
          </w:p>
        </w:tc>
        <w:tc>
          <w:tcPr>
            <w:tcW w:type="dxa" w:w="590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4"/>
              </w:rPr>
              <w:t>Purpose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GET /api/internal/db/employee/:id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Employee row read with read capability.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GET /api/internal/rest/tickets?owner=emp_alex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Ticket state read with REST-style resource scope.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POST /api/internal/rest/tickets/transfer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Ticket ownership write after approval.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POST /api/internal/graphql/directory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Real GraphQL schema execution for manager lookup.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POST /api/internal/legacy/billing/disable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Fixed-width legacy record disable after approval.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POST /api/internal/capability/probe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Judge-visible 401/403/200 security proof.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Audit, evidence, and durability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DA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Transaction boundary: </w:t>
            </w:r>
            <w:r>
              <w:rPr>
                <w:rFonts w:ascii="Calibri" w:hAnsi="Calibri"/>
                <w:b w:val="0"/>
                <w:color w:val="111827"/>
                <w:sz w:val="16"/>
              </w:rPr>
              <w:t>Connector mutation, idempotency record, connector activity, and tool_result audit append run inside one SQLite transaction. If audit append fails, mutation and idempotency roll back together.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11827"/>
          <w:sz w:val="16"/>
        </w:rPr>
        <w:t>Idempotency keys are stable per run and step. The REST timeout scenario pauses after a committed ticket transfer; retry reuses the existing key, records recovery, and avoids duplicate transfer writes. Audit events are hash-chained per run with sequence numbers and previous-hash linkage. Evidence export includes prompt, actor, typed plan, approvals, policy decisions, capabilities, tool calls, full audit replay, audit root hash, and redacted before/after diffs.</w:t>
      </w: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Failure modes and verification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240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4"/>
              </w:rPr>
              <w:t>Failure mode</w:t>
            </w:r>
          </w:p>
        </w:tc>
        <w:tc>
          <w:tcPr>
            <w:tcW w:type="dxa" w:w="6552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4"/>
              </w:rPr>
              <w:t>Handling / coverage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Missing or tampered session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Structured 401; tests/session.test.ts and API route tests.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Unauthorized actor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Run blocks before destructive capabilities mint.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Capability mismatch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403 from internal route; security and internal-systems tests.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Bad planner output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Fallback plan; planner mocked success/failure tests.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Audit append failure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Rollback test prevents unaudited mutation.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REST timeout after write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Paused run; retry uses idempotency key; E2E covers recovery.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Prompt-injection ticket text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Treated as data; no unrelated authority granted.</w:t>
            </w:r>
          </w:p>
        </w:tc>
      </w:tr>
      <w:tr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Reviewer UI proof</w:t>
            </w:r>
          </w:p>
        </w:tc>
        <w:tc>
          <w:tcPr>
            <w:tcW w:type="dxa" w:w="5184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4"/>
              </w:rPr>
              <w:t>Playwright covers Live Systems, Security Probe, protocol inspector, retry, and mobile.</w:t>
            </w:r>
          </w:p>
        </w:tc>
      </w:tr>
    </w:tbl>
    <w:p>
      <w:pPr>
        <w:spacing w:after="20"/>
      </w:pPr>
    </w:p>
    <w:p>
      <w:pPr>
        <w:spacing w:after="0" w:line="252" w:lineRule="auto"/>
      </w:pPr>
      <w:r>
        <w:rPr>
          <w:rFonts w:ascii="Calibri" w:hAnsi="Calibri"/>
          <w:b w:val="0"/>
          <w:color w:val="111827"/>
          <w:sz w:val="16"/>
        </w:rPr>
        <w:t>npm run verify chains typecheck, unit/integration tests, production build, and Playwright E2E.</w:t>
      </w:r>
    </w:p>
    <w:sectPr w:rsidR="00FC693F" w:rsidRPr="0006063C" w:rsidSect="00034616">
      <w:footerReference w:type="default" r:id="rId9"/>
      <w:pgSz w:w="12240" w:h="15840"/>
      <w:pgMar w:top="835" w:right="936" w:bottom="835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F6B73"/>
        <w:sz w:val="15"/>
      </w:rPr>
      <w:t>AA Firewall TDD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