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C197" w14:textId="73EB6AD4" w:rsidR="000B304B" w:rsidRPr="00E04649" w:rsidRDefault="008654B0" w:rsidP="008654B0">
      <w:pPr>
        <w:jc w:val="center"/>
        <w:rPr>
          <w:rFonts w:ascii="Times New Roman" w:hAnsi="Times New Roman" w:cs="Times New Roman"/>
          <w:b/>
          <w:color w:val="323E4F" w:themeColor="text2" w:themeShade="BF"/>
          <w:spacing w:val="10"/>
          <w:sz w:val="28"/>
          <w:szCs w:val="28"/>
          <w:u w:val="single"/>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04649">
        <w:rPr>
          <w:rFonts w:ascii="Times New Roman" w:hAnsi="Times New Roman" w:cs="Times New Roman"/>
          <w:b/>
          <w:color w:val="323E4F" w:themeColor="text2" w:themeShade="BF"/>
          <w:spacing w:val="10"/>
          <w:sz w:val="28"/>
          <w:szCs w:val="28"/>
          <w:u w:val="single"/>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Volatility and Resilience of Bank Credit Growth in India in the Era of Digital Lending Expansion (2019–2026)</w:t>
      </w:r>
    </w:p>
    <w:p w14:paraId="7EFE8684" w14:textId="77777777" w:rsidR="008654B0" w:rsidRDefault="008654B0" w:rsidP="008654B0">
      <w:pPr>
        <w:jc w:val="center"/>
        <w:rPr>
          <w:b/>
          <w:color w:val="AF620D"/>
          <w:spacing w:val="10"/>
          <w:sz w:val="40"/>
          <w:szCs w:val="40"/>
          <w:u w:val="single"/>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43E664F" w14:textId="13A84531" w:rsidR="008654B0" w:rsidRPr="008654B0" w:rsidRDefault="008654B0" w:rsidP="008654B0">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654B0">
        <w:rPr>
          <w:rFonts w:ascii="Times New Roman" w:hAnsi="Times New Roman" w:cs="Times New Roman"/>
          <w:b/>
          <w:color w:val="000000" w:themeColor="text1"/>
          <w:spacing w:val="10"/>
          <w:u w:val="single"/>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Name:</w:t>
      </w:r>
      <w:r w:rsid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8654B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Shree Bhumikha</w:t>
      </w:r>
    </w:p>
    <w:p w14:paraId="62D16079" w14:textId="397333F4" w:rsidR="008654B0" w:rsidRPr="008654B0" w:rsidRDefault="008654B0" w:rsidP="008654B0">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654B0">
        <w:rPr>
          <w:rFonts w:ascii="Times New Roman" w:hAnsi="Times New Roman" w:cs="Times New Roman"/>
          <w:b/>
          <w:color w:val="000000" w:themeColor="text1"/>
          <w:spacing w:val="10"/>
          <w:u w:val="single"/>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Course</w:t>
      </w:r>
      <w:r w:rsidR="00E5359D" w:rsidRPr="00E5359D">
        <w:rPr>
          <w:rFonts w:ascii="Times New Roman" w:hAnsi="Times New Roman" w:cs="Times New Roman"/>
          <w:b/>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8654B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BSc</w:t>
      </w:r>
      <w:r w:rsid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8654B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[Computer </w:t>
      </w:r>
      <w:proofErr w:type="spellStart"/>
      <w:r w:rsidRPr="008654B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Science,Statistics</w:t>
      </w:r>
      <w:proofErr w:type="spellEnd"/>
      <w:r w:rsidRPr="008654B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and Economics]</w:t>
      </w:r>
    </w:p>
    <w:p w14:paraId="3714CB9C" w14:textId="07F9E113" w:rsidR="008654B0" w:rsidRPr="008654B0" w:rsidRDefault="008654B0" w:rsidP="008654B0">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654B0">
        <w:rPr>
          <w:rFonts w:ascii="Times New Roman" w:hAnsi="Times New Roman" w:cs="Times New Roman"/>
          <w:b/>
          <w:color w:val="000000" w:themeColor="text1"/>
          <w:spacing w:val="10"/>
          <w:u w:val="single"/>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Date:</w:t>
      </w:r>
      <w:r w:rsid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8654B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21-04-2026</w:t>
      </w:r>
    </w:p>
    <w:p w14:paraId="676E473B" w14:textId="77777777" w:rsidR="008654B0" w:rsidRPr="008654B0" w:rsidRDefault="008654B0" w:rsidP="008654B0">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B0A6A40" w14:textId="30F473E3" w:rsidR="008654B0" w:rsidRPr="00E04649" w:rsidRDefault="008654B0" w:rsidP="008654B0">
      <w:pPr>
        <w:rPr>
          <w:rFonts w:ascii="Times New Roman" w:hAnsi="Times New Roman" w:cs="Times New Roman"/>
          <w:b/>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04649">
        <w:rPr>
          <w:rFonts w:ascii="Times New Roman" w:hAnsi="Times New Roman" w:cs="Times New Roman"/>
          <w:b/>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Abstract:</w:t>
      </w:r>
    </w:p>
    <w:p w14:paraId="47726ABC" w14:textId="7F48BFB3" w:rsidR="008654B0" w:rsidRPr="008654B0" w:rsidRDefault="008654B0" w:rsidP="008654B0">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654B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This study </w:t>
      </w:r>
      <w:proofErr w:type="spellStart"/>
      <w:r w:rsidRPr="008654B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analyzes</w:t>
      </w:r>
      <w:proofErr w:type="spellEnd"/>
      <w:r w:rsidRPr="008654B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the volatility and resilience of bank credit growth in India from 2019 to 2026, a period marked by rapid digital lending expansion, the COVID-19 pandemic, and significant regulatory intervention. Using monthly data from RBI sources including the Monetary Survey, Payment System Indicators, and Sectoral Deployment of Bank Credit, the study examines credit growth trends, volatility patterns, and recovery dynamics. Key findings reveal that bank credit grew at an average annual rate of 13.19% during the analysis period. The COVID-19 shock caused a modest slowdown from around 9% to 7.73%, with recovery occurring within 2 months. The Default Loss Guarantee (DLG) guidelines of June 2023 are associated with a decline in credit growth volatility without suppressing growth. The study concludes that the Indian banking system demonstrated strong resilience during multiple shocks, and regulatory intervention contributed to stabilizing the digital lending ecosystem.</w:t>
      </w:r>
    </w:p>
    <w:p w14:paraId="6CA74BE5" w14:textId="77777777" w:rsidR="008654B0" w:rsidRPr="00E04649" w:rsidRDefault="008654B0" w:rsidP="008654B0">
      <w:pPr>
        <w:rPr>
          <w:b/>
          <w:bCs/>
          <w:color w:val="AF620D"/>
          <w:spacing w:val="10"/>
          <w:sz w:val="24"/>
          <w:szCs w:val="24"/>
          <w:u w:val="single"/>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326056C" w14:textId="77777777" w:rsidR="008654B0" w:rsidRPr="008654B0" w:rsidRDefault="008654B0" w:rsidP="008654B0">
      <w:pPr>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654B0">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Introduction</w:t>
      </w:r>
    </w:p>
    <w:p w14:paraId="64AAB103" w14:textId="77777777" w:rsidR="008654B0" w:rsidRPr="008654B0" w:rsidRDefault="008654B0" w:rsidP="009C49A4">
      <w:pPr>
        <w:spacing w:line="240" w:lineRule="auto"/>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654B0">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The period from 2019 to 2026 witnessed transformative changes in India's banking sector. The rapid adoption of digital payments through UPI, the emergence of fintech lending platforms, and the formalization of digital lending regulations marked a new era in credit delivery. However, this period also presented unprecedented challenges, including the COVID-19 pandemic, supply chain disruptions, and monetary policy tightening.</w:t>
      </w:r>
    </w:p>
    <w:p w14:paraId="0355A373" w14:textId="77777777" w:rsidR="008654B0" w:rsidRDefault="008654B0" w:rsidP="009C49A4">
      <w:pPr>
        <w:spacing w:line="240" w:lineRule="auto"/>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654B0">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This project examines how bank credit growth in India behaved during this transformative period. Specifically, it </w:t>
      </w:r>
      <w:proofErr w:type="spellStart"/>
      <w:r w:rsidRPr="008654B0">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analyzes</w:t>
      </w:r>
      <w:proofErr w:type="spellEnd"/>
      <w:r w:rsidRPr="008654B0">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the volatility of credit growth, the resilience of the banking system during the COVID shock, and the impact of the Default Loss Guarantee (DLG) guidelines implemented in June 2023.</w:t>
      </w:r>
    </w:p>
    <w:p w14:paraId="169F2D6C" w14:textId="6A70AB24" w:rsidR="009C49A4" w:rsidRDefault="009C49A4" w:rsidP="009C49A4">
      <w:pPr>
        <w:spacing w:line="240" w:lineRule="auto"/>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rPr>
        <w:lastRenderedPageBreak/>
        <w:drawing>
          <wp:inline distT="0" distB="0" distL="0" distR="0" wp14:anchorId="7F626E9F" wp14:editId="33BE32EB">
            <wp:extent cx="5958840" cy="3124200"/>
            <wp:effectExtent l="0" t="0" r="3810" b="0"/>
            <wp:docPr id="930666737" name="Chart 1">
              <a:extLst xmlns:a="http://schemas.openxmlformats.org/drawingml/2006/main">
                <a:ext uri="{FF2B5EF4-FFF2-40B4-BE49-F238E27FC236}">
                  <a16:creationId xmlns:a16="http://schemas.microsoft.com/office/drawing/2014/main" id="{67047E5E-383F-42B5-B3F5-84D5CC41CB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52A3698" w14:textId="77777777" w:rsidR="00E5359D" w:rsidRPr="008654B0" w:rsidRDefault="00E5359D" w:rsidP="009C49A4">
      <w:pPr>
        <w:spacing w:line="240" w:lineRule="auto"/>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154982C9" w14:textId="77777777" w:rsidR="00E5359D" w:rsidRPr="00E5359D" w:rsidRDefault="00E5359D" w:rsidP="00E5359D">
      <w:pPr>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Objectives of the Study</w:t>
      </w:r>
    </w:p>
    <w:p w14:paraId="402B150A" w14:textId="77777777" w:rsidR="00E5359D" w:rsidRPr="00E5359D" w:rsidRDefault="00E5359D" w:rsidP="00E5359D">
      <w:pPr>
        <w:numPr>
          <w:ilvl w:val="0"/>
          <w:numId w:val="5"/>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To </w:t>
      </w:r>
      <w:proofErr w:type="spellStart"/>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analyze</w:t>
      </w:r>
      <w:proofErr w:type="spellEnd"/>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the year-on-year growth trend of bank credit in India from 2019 to 2026. </w:t>
      </w:r>
    </w:p>
    <w:p w14:paraId="4FD2E711" w14:textId="77777777" w:rsidR="00E5359D" w:rsidRPr="00E5359D" w:rsidRDefault="00E5359D" w:rsidP="00E5359D">
      <w:pPr>
        <w:numPr>
          <w:ilvl w:val="0"/>
          <w:numId w:val="5"/>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To measure the volatility of bank credit growth before and after the COVID-19 pandemic shock. </w:t>
      </w:r>
    </w:p>
    <w:p w14:paraId="68F7471F" w14:textId="77777777" w:rsidR="00E5359D" w:rsidRPr="00E5359D" w:rsidRDefault="00E5359D" w:rsidP="00E5359D">
      <w:pPr>
        <w:numPr>
          <w:ilvl w:val="0"/>
          <w:numId w:val="5"/>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To assess the resilience of the Indian banking system during the COVID-19 crisis. </w:t>
      </w:r>
    </w:p>
    <w:p w14:paraId="71706931" w14:textId="77777777" w:rsidR="00E5359D" w:rsidRPr="00E5359D" w:rsidRDefault="00E5359D" w:rsidP="00E5359D">
      <w:pPr>
        <w:numPr>
          <w:ilvl w:val="0"/>
          <w:numId w:val="5"/>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To evaluate the impact of the Default Loss Guarantee (DLG) guidelines on credit growth volatility. </w:t>
      </w:r>
    </w:p>
    <w:p w14:paraId="446D16D9" w14:textId="311652B8" w:rsidR="00E5359D" w:rsidRPr="00E04649" w:rsidRDefault="00E5359D" w:rsidP="00E5359D">
      <w:pPr>
        <w:numPr>
          <w:ilvl w:val="0"/>
          <w:numId w:val="5"/>
        </w:numPr>
        <w:rPr>
          <w:rFonts w:ascii="Times New Roman" w:hAnsi="Times New Roman" w:cs="Times New Roman"/>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To examine correlations between UPI adoption, personal loans, repo rates, and bank credit growth. </w:t>
      </w:r>
      <w: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r>
      <w: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r>
    </w:p>
    <w:p w14:paraId="27D57874" w14:textId="46C0A5D1" w:rsidR="00E5359D" w:rsidRPr="00E04649" w:rsidRDefault="00E5359D" w:rsidP="00E5359D">
      <w:pPr>
        <w:rPr>
          <w:rFonts w:ascii="Times New Roman" w:hAnsi="Times New Roman" w:cs="Times New Roman"/>
          <w:b/>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04649">
        <w:rPr>
          <w:rFonts w:ascii="Times New Roman" w:hAnsi="Times New Roman" w:cs="Times New Roman"/>
          <w:b/>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Data Description</w:t>
      </w:r>
    </w:p>
    <w:p w14:paraId="0E4FA990" w14:textId="77777777" w:rsidR="00E5359D" w:rsidRPr="00E5359D" w:rsidRDefault="00E5359D" w:rsidP="00E5359D">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Source of data:</w:t>
      </w: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Reserve Bank of India (RBI) Database on Indian Economy (DBIE)</w:t>
      </w:r>
    </w:p>
    <w:tbl>
      <w:tblPr>
        <w:tblStyle w:val="TableGrid"/>
        <w:tblW w:w="0" w:type="auto"/>
        <w:tblLook w:val="04A0" w:firstRow="1" w:lastRow="0" w:firstColumn="1" w:lastColumn="0" w:noHBand="0" w:noVBand="1"/>
      </w:tblPr>
      <w:tblGrid>
        <w:gridCol w:w="3946"/>
        <w:gridCol w:w="1231"/>
        <w:gridCol w:w="3591"/>
      </w:tblGrid>
      <w:tr w:rsidR="00E5359D" w:rsidRPr="00E5359D" w14:paraId="008CC169" w14:textId="77777777" w:rsidTr="00E5359D">
        <w:tc>
          <w:tcPr>
            <w:tcW w:w="0" w:type="auto"/>
            <w:hideMark/>
          </w:tcPr>
          <w:p w14:paraId="2128A90B" w14:textId="77777777" w:rsidR="00E5359D" w:rsidRPr="00E5359D" w:rsidRDefault="00E5359D" w:rsidP="00E5359D">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Dataset</w:t>
            </w:r>
          </w:p>
        </w:tc>
        <w:tc>
          <w:tcPr>
            <w:tcW w:w="0" w:type="auto"/>
            <w:hideMark/>
          </w:tcPr>
          <w:p w14:paraId="2FE9D986" w14:textId="77777777" w:rsidR="00E5359D" w:rsidRPr="00E5359D" w:rsidRDefault="00E5359D" w:rsidP="00E5359D">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Source</w:t>
            </w:r>
          </w:p>
        </w:tc>
        <w:tc>
          <w:tcPr>
            <w:tcW w:w="0" w:type="auto"/>
            <w:hideMark/>
          </w:tcPr>
          <w:p w14:paraId="394AAAF1" w14:textId="77777777" w:rsidR="00E5359D" w:rsidRPr="00E5359D" w:rsidRDefault="00E5359D" w:rsidP="00E5359D">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Variables</w:t>
            </w:r>
          </w:p>
        </w:tc>
      </w:tr>
      <w:tr w:rsidR="00E5359D" w:rsidRPr="00E5359D" w14:paraId="374225F8" w14:textId="77777777" w:rsidTr="00E5359D">
        <w:tc>
          <w:tcPr>
            <w:tcW w:w="0" w:type="auto"/>
            <w:hideMark/>
          </w:tcPr>
          <w:p w14:paraId="32E4952A"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Monetary Survey (Table 8)</w:t>
            </w:r>
          </w:p>
        </w:tc>
        <w:tc>
          <w:tcPr>
            <w:tcW w:w="0" w:type="auto"/>
            <w:hideMark/>
          </w:tcPr>
          <w:p w14:paraId="063B32B2"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RBI DBIE</w:t>
            </w:r>
          </w:p>
        </w:tc>
        <w:tc>
          <w:tcPr>
            <w:tcW w:w="0" w:type="auto"/>
            <w:hideMark/>
          </w:tcPr>
          <w:p w14:paraId="28148BC1"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Bank Credit to Commercial Sector</w:t>
            </w:r>
          </w:p>
        </w:tc>
      </w:tr>
      <w:tr w:rsidR="00E5359D" w:rsidRPr="00E5359D" w14:paraId="62041BC4" w14:textId="77777777" w:rsidTr="00E5359D">
        <w:tc>
          <w:tcPr>
            <w:tcW w:w="0" w:type="auto"/>
            <w:hideMark/>
          </w:tcPr>
          <w:p w14:paraId="7FB77BC9"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Payment System Indicators (Table 45)</w:t>
            </w:r>
          </w:p>
        </w:tc>
        <w:tc>
          <w:tcPr>
            <w:tcW w:w="0" w:type="auto"/>
            <w:hideMark/>
          </w:tcPr>
          <w:p w14:paraId="3D14CAB3"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RBI DBIE</w:t>
            </w:r>
          </w:p>
        </w:tc>
        <w:tc>
          <w:tcPr>
            <w:tcW w:w="0" w:type="auto"/>
            <w:hideMark/>
          </w:tcPr>
          <w:p w14:paraId="61B11875"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UPI Transaction Volume</w:t>
            </w:r>
          </w:p>
        </w:tc>
      </w:tr>
      <w:tr w:rsidR="00E5359D" w:rsidRPr="00E5359D" w14:paraId="0137348F" w14:textId="77777777" w:rsidTr="00E5359D">
        <w:tc>
          <w:tcPr>
            <w:tcW w:w="0" w:type="auto"/>
            <w:hideMark/>
          </w:tcPr>
          <w:p w14:paraId="52AA112F"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Sectoral Deployment of Bank Credit</w:t>
            </w:r>
          </w:p>
        </w:tc>
        <w:tc>
          <w:tcPr>
            <w:tcW w:w="0" w:type="auto"/>
            <w:hideMark/>
          </w:tcPr>
          <w:p w14:paraId="61620FE3"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RBI DBIE</w:t>
            </w:r>
          </w:p>
        </w:tc>
        <w:tc>
          <w:tcPr>
            <w:tcW w:w="0" w:type="auto"/>
            <w:hideMark/>
          </w:tcPr>
          <w:p w14:paraId="0A08732D"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Personal Loans Outstanding</w:t>
            </w:r>
          </w:p>
        </w:tc>
      </w:tr>
      <w:tr w:rsidR="00E5359D" w:rsidRPr="00E5359D" w14:paraId="2A0E7024" w14:textId="77777777" w:rsidTr="00E5359D">
        <w:tc>
          <w:tcPr>
            <w:tcW w:w="0" w:type="auto"/>
            <w:hideMark/>
          </w:tcPr>
          <w:p w14:paraId="3DE7EFB2"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Major Monetary Policy Rates</w:t>
            </w:r>
          </w:p>
        </w:tc>
        <w:tc>
          <w:tcPr>
            <w:tcW w:w="0" w:type="auto"/>
            <w:hideMark/>
          </w:tcPr>
          <w:p w14:paraId="05E35DC7"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RBI DBIE</w:t>
            </w:r>
          </w:p>
        </w:tc>
        <w:tc>
          <w:tcPr>
            <w:tcW w:w="0" w:type="auto"/>
            <w:hideMark/>
          </w:tcPr>
          <w:p w14:paraId="7E915FA0"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Repo Rate, CRR</w:t>
            </w:r>
          </w:p>
        </w:tc>
      </w:tr>
    </w:tbl>
    <w:p w14:paraId="77791A3F" w14:textId="77777777" w:rsidR="00E5359D" w:rsidRDefault="00E5359D" w:rsidP="00E5359D">
      <w:pPr>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6F0E807" w14:textId="1F4D671A" w:rsidR="00E5359D" w:rsidRPr="00E5359D" w:rsidRDefault="00E5359D" w:rsidP="00E5359D">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Time period</w:t>
      </w: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January 2019 to January 2026 (Monthly frequency)</w:t>
      </w:r>
    </w:p>
    <w:p w14:paraId="6C11C3B6" w14:textId="77777777" w:rsidR="00E5359D" w:rsidRPr="00E5359D" w:rsidRDefault="00E5359D" w:rsidP="00E5359D">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477C8E76" w14:textId="77777777" w:rsidR="00E5359D" w:rsidRPr="00E5359D" w:rsidRDefault="00E5359D" w:rsidP="00E5359D">
      <w:pPr>
        <w:rPr>
          <w:rFonts w:ascii="Times New Roman" w:hAnsi="Times New Roman" w:cs="Times New Roman"/>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Variables used:</w:t>
      </w:r>
    </w:p>
    <w:tbl>
      <w:tblPr>
        <w:tblStyle w:val="TableGrid"/>
        <w:tblW w:w="0" w:type="auto"/>
        <w:tblLook w:val="04A0" w:firstRow="1" w:lastRow="0" w:firstColumn="1" w:lastColumn="0" w:noHBand="0" w:noVBand="1"/>
      </w:tblPr>
      <w:tblGrid>
        <w:gridCol w:w="2860"/>
        <w:gridCol w:w="4138"/>
        <w:gridCol w:w="767"/>
      </w:tblGrid>
      <w:tr w:rsidR="00E5359D" w:rsidRPr="00E5359D" w14:paraId="08D1D452" w14:textId="77777777" w:rsidTr="00E5359D">
        <w:tc>
          <w:tcPr>
            <w:tcW w:w="0" w:type="auto"/>
            <w:hideMark/>
          </w:tcPr>
          <w:p w14:paraId="107222AF" w14:textId="77777777" w:rsidR="00E5359D" w:rsidRPr="00E5359D" w:rsidRDefault="00E5359D" w:rsidP="00E5359D">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Variable</w:t>
            </w:r>
          </w:p>
        </w:tc>
        <w:tc>
          <w:tcPr>
            <w:tcW w:w="0" w:type="auto"/>
            <w:hideMark/>
          </w:tcPr>
          <w:p w14:paraId="05A94794" w14:textId="77777777" w:rsidR="00E5359D" w:rsidRPr="00E5359D" w:rsidRDefault="00E5359D" w:rsidP="00E5359D">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Description</w:t>
            </w:r>
          </w:p>
        </w:tc>
        <w:tc>
          <w:tcPr>
            <w:tcW w:w="0" w:type="auto"/>
            <w:hideMark/>
          </w:tcPr>
          <w:p w14:paraId="4A2BAE7D" w14:textId="77777777" w:rsidR="00E5359D" w:rsidRPr="00E5359D" w:rsidRDefault="00E5359D" w:rsidP="00E5359D">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Unit</w:t>
            </w:r>
          </w:p>
        </w:tc>
      </w:tr>
      <w:tr w:rsidR="00E5359D" w:rsidRPr="00E5359D" w14:paraId="666D8956" w14:textId="77777777" w:rsidTr="00E5359D">
        <w:tc>
          <w:tcPr>
            <w:tcW w:w="0" w:type="auto"/>
            <w:hideMark/>
          </w:tcPr>
          <w:p w14:paraId="74CAF845"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Bank Credit</w:t>
            </w:r>
          </w:p>
        </w:tc>
        <w:tc>
          <w:tcPr>
            <w:tcW w:w="0" w:type="auto"/>
            <w:hideMark/>
          </w:tcPr>
          <w:p w14:paraId="29A36EE5"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Outstanding credit to commercial sector</w:t>
            </w:r>
          </w:p>
        </w:tc>
        <w:tc>
          <w:tcPr>
            <w:tcW w:w="0" w:type="auto"/>
            <w:hideMark/>
          </w:tcPr>
          <w:p w14:paraId="7DE21C88" w14:textId="4F99C061"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Crore</w:t>
            </w:r>
          </w:p>
        </w:tc>
      </w:tr>
      <w:tr w:rsidR="00E5359D" w:rsidRPr="00E5359D" w14:paraId="02075B6F" w14:textId="77777777" w:rsidTr="00E5359D">
        <w:tc>
          <w:tcPr>
            <w:tcW w:w="0" w:type="auto"/>
            <w:hideMark/>
          </w:tcPr>
          <w:p w14:paraId="133A92DE"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Bank Credit Growth (YoY)</w:t>
            </w:r>
          </w:p>
        </w:tc>
        <w:tc>
          <w:tcPr>
            <w:tcW w:w="0" w:type="auto"/>
            <w:hideMark/>
          </w:tcPr>
          <w:p w14:paraId="49211455"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Year-on-year percentage change</w:t>
            </w:r>
          </w:p>
        </w:tc>
        <w:tc>
          <w:tcPr>
            <w:tcW w:w="0" w:type="auto"/>
            <w:hideMark/>
          </w:tcPr>
          <w:p w14:paraId="1515D7E0"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tc>
      </w:tr>
      <w:tr w:rsidR="00E5359D" w:rsidRPr="00E5359D" w14:paraId="148DFB13" w14:textId="77777777" w:rsidTr="00E5359D">
        <w:tc>
          <w:tcPr>
            <w:tcW w:w="0" w:type="auto"/>
            <w:hideMark/>
          </w:tcPr>
          <w:p w14:paraId="6F4B677F"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Personal Loans</w:t>
            </w:r>
          </w:p>
        </w:tc>
        <w:tc>
          <w:tcPr>
            <w:tcW w:w="0" w:type="auto"/>
            <w:hideMark/>
          </w:tcPr>
          <w:p w14:paraId="3ACE597E"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Outstanding personal loans</w:t>
            </w:r>
          </w:p>
        </w:tc>
        <w:tc>
          <w:tcPr>
            <w:tcW w:w="0" w:type="auto"/>
            <w:hideMark/>
          </w:tcPr>
          <w:p w14:paraId="194C05FA" w14:textId="6811580D"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Crore</w:t>
            </w:r>
          </w:p>
        </w:tc>
      </w:tr>
      <w:tr w:rsidR="00E5359D" w:rsidRPr="00E5359D" w14:paraId="23F785B7" w14:textId="77777777" w:rsidTr="00E5359D">
        <w:tc>
          <w:tcPr>
            <w:tcW w:w="0" w:type="auto"/>
            <w:hideMark/>
          </w:tcPr>
          <w:p w14:paraId="25E5C4AC"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UPI Volume</w:t>
            </w:r>
          </w:p>
        </w:tc>
        <w:tc>
          <w:tcPr>
            <w:tcW w:w="0" w:type="auto"/>
            <w:hideMark/>
          </w:tcPr>
          <w:p w14:paraId="7AB6B9DF"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Monthly UPI transaction volume</w:t>
            </w:r>
          </w:p>
        </w:tc>
        <w:tc>
          <w:tcPr>
            <w:tcW w:w="0" w:type="auto"/>
            <w:hideMark/>
          </w:tcPr>
          <w:p w14:paraId="4F05937A" w14:textId="58761849"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Crore </w:t>
            </w:r>
          </w:p>
        </w:tc>
      </w:tr>
      <w:tr w:rsidR="00E5359D" w:rsidRPr="00E5359D" w14:paraId="76541532" w14:textId="77777777" w:rsidTr="00E5359D">
        <w:tc>
          <w:tcPr>
            <w:tcW w:w="0" w:type="auto"/>
            <w:hideMark/>
          </w:tcPr>
          <w:p w14:paraId="69D18183"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Repo Rate</w:t>
            </w:r>
          </w:p>
        </w:tc>
        <w:tc>
          <w:tcPr>
            <w:tcW w:w="0" w:type="auto"/>
            <w:hideMark/>
          </w:tcPr>
          <w:p w14:paraId="25627C19"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Policy repo rate</w:t>
            </w:r>
          </w:p>
        </w:tc>
        <w:tc>
          <w:tcPr>
            <w:tcW w:w="0" w:type="auto"/>
            <w:hideMark/>
          </w:tcPr>
          <w:p w14:paraId="4E3F8813"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tc>
      </w:tr>
      <w:tr w:rsidR="00E5359D" w:rsidRPr="00E5359D" w14:paraId="2E025483" w14:textId="77777777" w:rsidTr="00E5359D">
        <w:tc>
          <w:tcPr>
            <w:tcW w:w="0" w:type="auto"/>
            <w:hideMark/>
          </w:tcPr>
          <w:p w14:paraId="12BE0645"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CRR</w:t>
            </w:r>
          </w:p>
        </w:tc>
        <w:tc>
          <w:tcPr>
            <w:tcW w:w="0" w:type="auto"/>
            <w:hideMark/>
          </w:tcPr>
          <w:p w14:paraId="1F033626"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Cash Reserve Ratio</w:t>
            </w:r>
          </w:p>
        </w:tc>
        <w:tc>
          <w:tcPr>
            <w:tcW w:w="0" w:type="auto"/>
            <w:hideMark/>
          </w:tcPr>
          <w:p w14:paraId="5941024E"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tc>
      </w:tr>
    </w:tbl>
    <w:p w14:paraId="651AD167" w14:textId="77777777" w:rsidR="00E5359D" w:rsidRDefault="00E5359D" w:rsidP="00E5359D">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1D340894" w14:textId="77777777" w:rsidR="00E5359D" w:rsidRDefault="00E5359D" w:rsidP="00E5359D">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6CD8DCB" w14:textId="77777777" w:rsidR="00E5359D" w:rsidRPr="00E5359D" w:rsidRDefault="00E5359D" w:rsidP="00E5359D">
      <w:pPr>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Methodology</w:t>
      </w:r>
    </w:p>
    <w:p w14:paraId="16C55BBF" w14:textId="77777777" w:rsidR="00E5359D" w:rsidRPr="00E5359D" w:rsidRDefault="00E5359D" w:rsidP="00E5359D">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Growth Calculation (YoY):</w:t>
      </w:r>
    </w:p>
    <w:p w14:paraId="737CE61B" w14:textId="5ECF1C88" w:rsidR="00E5359D" w:rsidRDefault="00E5359D" w:rsidP="00E5359D">
      <w:pPr>
        <w:pBdr>
          <w:top w:val="single" w:sz="4" w:space="1" w:color="auto"/>
          <w:left w:val="single" w:sz="4" w:space="4" w:color="auto"/>
          <w:bottom w:val="single" w:sz="4" w:space="1" w:color="auto"/>
          <w:right w:val="single" w:sz="4" w:space="4" w:color="auto"/>
        </w:pBd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YoY Growth = (Current Month Value / Same Month Previous Year Value - 1) × 100</w:t>
      </w:r>
    </w:p>
    <w:p w14:paraId="2594BB20" w14:textId="77777777" w:rsidR="00E5359D" w:rsidRPr="00E5359D" w:rsidRDefault="00E5359D" w:rsidP="00E5359D">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2D07E90" w14:textId="77777777" w:rsidR="00E5359D" w:rsidRPr="00E5359D" w:rsidRDefault="00E5359D" w:rsidP="00E5359D">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Volatility Measurement:</w:t>
      </w:r>
    </w:p>
    <w:p w14:paraId="03943342" w14:textId="77777777" w:rsidR="00E5359D" w:rsidRPr="00E5359D" w:rsidRDefault="00E5359D" w:rsidP="00E5359D">
      <w:pPr>
        <w:numPr>
          <w:ilvl w:val="0"/>
          <w:numId w:val="6"/>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Standard deviation of bank credit growth (overall and period-wise) </w:t>
      </w:r>
    </w:p>
    <w:p w14:paraId="677F0F64" w14:textId="77777777" w:rsidR="00E5359D" w:rsidRPr="00E5359D" w:rsidRDefault="00E5359D" w:rsidP="00E5359D">
      <w:pPr>
        <w:numPr>
          <w:ilvl w:val="0"/>
          <w:numId w:val="6"/>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Rolling 12-month standard deviation for trend analysis </w:t>
      </w:r>
    </w:p>
    <w:p w14:paraId="107E53CF" w14:textId="77777777" w:rsidR="00E5359D" w:rsidRPr="00E5359D" w:rsidRDefault="00E5359D" w:rsidP="00E5359D">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Pre vs Post Comparison:</w:t>
      </w:r>
    </w:p>
    <w:p w14:paraId="5961F5ED" w14:textId="77777777" w:rsidR="00E5359D" w:rsidRPr="00E5359D" w:rsidRDefault="00E5359D" w:rsidP="00E5359D">
      <w:pPr>
        <w:numPr>
          <w:ilvl w:val="0"/>
          <w:numId w:val="7"/>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Pre-COVID Period: January 2019 to February 2020 </w:t>
      </w:r>
    </w:p>
    <w:p w14:paraId="1E247B1D" w14:textId="77777777" w:rsidR="00E5359D" w:rsidRPr="00E5359D" w:rsidRDefault="00E5359D" w:rsidP="00E5359D">
      <w:pPr>
        <w:numPr>
          <w:ilvl w:val="0"/>
          <w:numId w:val="7"/>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Post-COVID Period: March 2021 to January 2026 </w:t>
      </w:r>
    </w:p>
    <w:p w14:paraId="7893BE3B" w14:textId="77777777" w:rsidR="00E5359D" w:rsidRPr="00E5359D" w:rsidRDefault="00E5359D" w:rsidP="00E5359D">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Correlation Analysis:</w:t>
      </w:r>
    </w:p>
    <w:p w14:paraId="56F5CE33" w14:textId="77777777" w:rsidR="00E5359D" w:rsidRPr="00E5359D" w:rsidRDefault="00E5359D" w:rsidP="00E5359D">
      <w:pPr>
        <w:numPr>
          <w:ilvl w:val="0"/>
          <w:numId w:val="8"/>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Pearson correlation coefficient between key variables </w:t>
      </w:r>
    </w:p>
    <w:p w14:paraId="2EF4629B" w14:textId="77777777" w:rsidR="00E5359D" w:rsidRPr="00E5359D" w:rsidRDefault="00E5359D" w:rsidP="00E5359D">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Graphical Analysis:</w:t>
      </w:r>
    </w:p>
    <w:p w14:paraId="7077933F" w14:textId="77777777" w:rsidR="00E5359D" w:rsidRPr="00E5359D" w:rsidRDefault="00E5359D" w:rsidP="00E5359D">
      <w:pPr>
        <w:numPr>
          <w:ilvl w:val="0"/>
          <w:numId w:val="9"/>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Dual-axis combo chart for Bank Credit and UPI </w:t>
      </w:r>
    </w:p>
    <w:p w14:paraId="3658C7E8" w14:textId="77777777" w:rsidR="00E5359D" w:rsidRPr="00E5359D" w:rsidRDefault="00E5359D" w:rsidP="00E5359D">
      <w:pPr>
        <w:numPr>
          <w:ilvl w:val="0"/>
          <w:numId w:val="9"/>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Line chart for rolling volatility </w:t>
      </w:r>
    </w:p>
    <w:p w14:paraId="06F9D80A" w14:textId="77777777" w:rsidR="00E5359D" w:rsidRPr="00E5359D" w:rsidRDefault="00E5359D" w:rsidP="00E5359D">
      <w:pPr>
        <w:numPr>
          <w:ilvl w:val="0"/>
          <w:numId w:val="9"/>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Scatter plots for correlation visualization</w:t>
      </w:r>
    </w:p>
    <w:p w14:paraId="7FE8FF8C" w14:textId="77777777" w:rsidR="008654B0" w:rsidRDefault="008654B0" w:rsidP="008654B0">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FA335D4" w14:textId="7269FD8C" w:rsidR="00E5359D" w:rsidRPr="00E5359D" w:rsidRDefault="00E5359D" w:rsidP="00E5359D">
      <w:pPr>
        <w:rPr>
          <w:rFonts w:ascii="Times New Roman" w:hAnsi="Times New Roman" w:cs="Times New Roman"/>
          <w:b/>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04649">
        <w:rPr>
          <w:rFonts w:ascii="Times New Roman" w:hAnsi="Times New Roman" w:cs="Times New Roman"/>
          <w:b/>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Key Events considered</w:t>
      </w:r>
    </w:p>
    <w:tbl>
      <w:tblPr>
        <w:tblStyle w:val="TableGrid"/>
        <w:tblW w:w="0" w:type="auto"/>
        <w:tblLook w:val="04A0" w:firstRow="1" w:lastRow="0" w:firstColumn="1" w:lastColumn="0" w:noHBand="0" w:noVBand="1"/>
      </w:tblPr>
      <w:tblGrid>
        <w:gridCol w:w="3405"/>
        <w:gridCol w:w="1600"/>
        <w:gridCol w:w="4011"/>
      </w:tblGrid>
      <w:tr w:rsidR="00E5359D" w:rsidRPr="00E5359D" w14:paraId="53A64230" w14:textId="77777777" w:rsidTr="00E5359D">
        <w:tc>
          <w:tcPr>
            <w:tcW w:w="0" w:type="auto"/>
            <w:hideMark/>
          </w:tcPr>
          <w:p w14:paraId="33551129" w14:textId="77777777" w:rsidR="00E5359D" w:rsidRPr="00E5359D" w:rsidRDefault="00E5359D" w:rsidP="00E5359D">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Event</w:t>
            </w:r>
          </w:p>
        </w:tc>
        <w:tc>
          <w:tcPr>
            <w:tcW w:w="0" w:type="auto"/>
            <w:hideMark/>
          </w:tcPr>
          <w:p w14:paraId="61801135" w14:textId="77777777" w:rsidR="00E5359D" w:rsidRPr="00E5359D" w:rsidRDefault="00E5359D" w:rsidP="00E5359D">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Date</w:t>
            </w:r>
          </w:p>
        </w:tc>
        <w:tc>
          <w:tcPr>
            <w:tcW w:w="0" w:type="auto"/>
            <w:hideMark/>
          </w:tcPr>
          <w:p w14:paraId="09210AC1" w14:textId="77777777" w:rsidR="00E5359D" w:rsidRPr="00E5359D" w:rsidRDefault="00E5359D" w:rsidP="00E5359D">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Significance</w:t>
            </w:r>
          </w:p>
        </w:tc>
      </w:tr>
      <w:tr w:rsidR="00E5359D" w:rsidRPr="00E5359D" w14:paraId="2ADA56EE" w14:textId="77777777" w:rsidTr="00E5359D">
        <w:tc>
          <w:tcPr>
            <w:tcW w:w="0" w:type="auto"/>
            <w:hideMark/>
          </w:tcPr>
          <w:p w14:paraId="2C460E7F"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COVID-19 Lockdown</w:t>
            </w:r>
          </w:p>
        </w:tc>
        <w:tc>
          <w:tcPr>
            <w:tcW w:w="0" w:type="auto"/>
            <w:hideMark/>
          </w:tcPr>
          <w:p w14:paraId="16A6D690"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March-May 2020</w:t>
            </w:r>
          </w:p>
        </w:tc>
        <w:tc>
          <w:tcPr>
            <w:tcW w:w="0" w:type="auto"/>
            <w:hideMark/>
          </w:tcPr>
          <w:p w14:paraId="1981FD2D"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Economic shock, supply disruption</w:t>
            </w:r>
          </w:p>
        </w:tc>
      </w:tr>
      <w:tr w:rsidR="00E5359D" w:rsidRPr="00E5359D" w14:paraId="2A579AC6" w14:textId="77777777" w:rsidTr="00E5359D">
        <w:tc>
          <w:tcPr>
            <w:tcW w:w="0" w:type="auto"/>
            <w:hideMark/>
          </w:tcPr>
          <w:p w14:paraId="1545A90D"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Default Loss Guarantee (DLG) Guidelines</w:t>
            </w:r>
          </w:p>
        </w:tc>
        <w:tc>
          <w:tcPr>
            <w:tcW w:w="0" w:type="auto"/>
            <w:hideMark/>
          </w:tcPr>
          <w:p w14:paraId="2C73213B"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June 8, 2023</w:t>
            </w:r>
          </w:p>
        </w:tc>
        <w:tc>
          <w:tcPr>
            <w:tcW w:w="0" w:type="auto"/>
            <w:hideMark/>
          </w:tcPr>
          <w:p w14:paraId="57CE8F2D"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First formal digital lending regulation</w:t>
            </w:r>
          </w:p>
        </w:tc>
      </w:tr>
      <w:tr w:rsidR="00E5359D" w:rsidRPr="00E5359D" w14:paraId="4B7F1D82" w14:textId="77777777" w:rsidTr="00E5359D">
        <w:tc>
          <w:tcPr>
            <w:tcW w:w="0" w:type="auto"/>
            <w:hideMark/>
          </w:tcPr>
          <w:p w14:paraId="7DD96735"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Repo Rate Cycle</w:t>
            </w:r>
          </w:p>
        </w:tc>
        <w:tc>
          <w:tcPr>
            <w:tcW w:w="0" w:type="auto"/>
            <w:hideMark/>
          </w:tcPr>
          <w:p w14:paraId="18594ED2"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2019-2026</w:t>
            </w:r>
          </w:p>
        </w:tc>
        <w:tc>
          <w:tcPr>
            <w:tcW w:w="0" w:type="auto"/>
            <w:hideMark/>
          </w:tcPr>
          <w:p w14:paraId="35319DCA"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Rates moved from 6.5% to 4.0% to 6.5% to 5.25%</w:t>
            </w:r>
          </w:p>
        </w:tc>
      </w:tr>
    </w:tbl>
    <w:p w14:paraId="29AF20E9" w14:textId="77777777" w:rsidR="00E5359D" w:rsidRDefault="00E5359D" w:rsidP="008654B0">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B84035F" w14:textId="77777777" w:rsidR="00E5359D" w:rsidRPr="00E5359D" w:rsidRDefault="00E5359D" w:rsidP="00E5359D">
      <w:pPr>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Data Analysis &amp; Interpretation</w:t>
      </w:r>
    </w:p>
    <w:p w14:paraId="52822F4C" w14:textId="40E52B8F" w:rsidR="00E5359D" w:rsidRPr="00E5359D" w:rsidRDefault="00E5359D" w:rsidP="00E5359D">
      <w:pPr>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Trend Analysis (Bank Credit Growth)</w:t>
      </w:r>
    </w:p>
    <w:tbl>
      <w:tblPr>
        <w:tblStyle w:val="TableGrid"/>
        <w:tblW w:w="0" w:type="auto"/>
        <w:tblLook w:val="04A0" w:firstRow="1" w:lastRow="0" w:firstColumn="1" w:lastColumn="0" w:noHBand="0" w:noVBand="1"/>
      </w:tblPr>
      <w:tblGrid>
        <w:gridCol w:w="3813"/>
        <w:gridCol w:w="2510"/>
      </w:tblGrid>
      <w:tr w:rsidR="00E5359D" w:rsidRPr="00E5359D" w14:paraId="151493A2" w14:textId="77777777" w:rsidTr="00E5359D">
        <w:tc>
          <w:tcPr>
            <w:tcW w:w="0" w:type="auto"/>
            <w:hideMark/>
          </w:tcPr>
          <w:p w14:paraId="675D6401" w14:textId="77777777" w:rsidR="00E5359D" w:rsidRPr="00E5359D" w:rsidRDefault="00E5359D" w:rsidP="00E5359D">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Statistic</w:t>
            </w:r>
          </w:p>
        </w:tc>
        <w:tc>
          <w:tcPr>
            <w:tcW w:w="0" w:type="auto"/>
            <w:hideMark/>
          </w:tcPr>
          <w:p w14:paraId="04D25BB3" w14:textId="77777777" w:rsidR="00E5359D" w:rsidRPr="00E5359D" w:rsidRDefault="00E5359D" w:rsidP="00E5359D">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Value</w:t>
            </w:r>
          </w:p>
        </w:tc>
      </w:tr>
      <w:tr w:rsidR="00E5359D" w:rsidRPr="00E5359D" w14:paraId="47401A0D" w14:textId="77777777" w:rsidTr="00E5359D">
        <w:tc>
          <w:tcPr>
            <w:tcW w:w="0" w:type="auto"/>
            <w:hideMark/>
          </w:tcPr>
          <w:p w14:paraId="51706AC4"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Average Credit Growth (Full Period)</w:t>
            </w:r>
          </w:p>
        </w:tc>
        <w:tc>
          <w:tcPr>
            <w:tcW w:w="0" w:type="auto"/>
            <w:hideMark/>
          </w:tcPr>
          <w:p w14:paraId="60BCD4E4"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13.19%</w:t>
            </w:r>
          </w:p>
        </w:tc>
      </w:tr>
      <w:tr w:rsidR="00E5359D" w:rsidRPr="00E5359D" w14:paraId="674CADFB" w14:textId="77777777" w:rsidTr="00E5359D">
        <w:tc>
          <w:tcPr>
            <w:tcW w:w="0" w:type="auto"/>
            <w:hideMark/>
          </w:tcPr>
          <w:p w14:paraId="01343BCB"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Maximum Credit Growth</w:t>
            </w:r>
          </w:p>
        </w:tc>
        <w:tc>
          <w:tcPr>
            <w:tcW w:w="0" w:type="auto"/>
            <w:hideMark/>
          </w:tcPr>
          <w:p w14:paraId="4BE690C5"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19.58% (October 2023)</w:t>
            </w:r>
          </w:p>
        </w:tc>
      </w:tr>
      <w:tr w:rsidR="00E5359D" w:rsidRPr="00E5359D" w14:paraId="5FD93E0C" w14:textId="77777777" w:rsidTr="00E5359D">
        <w:tc>
          <w:tcPr>
            <w:tcW w:w="0" w:type="auto"/>
            <w:hideMark/>
          </w:tcPr>
          <w:p w14:paraId="03BB6861" w14:textId="77777777"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Minimum Credit Growth</w:t>
            </w:r>
          </w:p>
        </w:tc>
        <w:tc>
          <w:tcPr>
            <w:tcW w:w="0" w:type="auto"/>
            <w:hideMark/>
          </w:tcPr>
          <w:p w14:paraId="479FFDD2" w14:textId="385E4993" w:rsidR="00E5359D" w:rsidRPr="00E5359D" w:rsidRDefault="00E5359D" w:rsidP="00E5359D">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6.</w:t>
            </w:r>
            <w: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6</w:t>
            </w: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9% (June 2025)</w:t>
            </w:r>
          </w:p>
        </w:tc>
      </w:tr>
    </w:tbl>
    <w:p w14:paraId="22AE95F3" w14:textId="77777777" w:rsidR="00E3621A" w:rsidRDefault="00E3621A" w:rsidP="00E5359D">
      <w:pPr>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C2E4D9E" w14:textId="60AE8844" w:rsidR="00E5359D" w:rsidRDefault="00E5359D" w:rsidP="00E5359D">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5359D">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Interpretation:</w:t>
      </w: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Bank credit in India maintained a strong growth trajectory throughout the 2019–2026 period, averaging 13.19% annually. The peak growth of 19.58% was recorded in October 2023, coinciding with festive season demand. The lowest growth of 6.</w:t>
      </w:r>
      <w: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9</w:t>
      </w:r>
      <w:r w:rsidRPr="00E5359D">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9% occurred in June 2025 following monetary tightening. Notably, credit growth never turned negative, demonstrating the underlying strength of credit demand.</w:t>
      </w:r>
    </w:p>
    <w:p w14:paraId="46EE9136" w14:textId="0C5823E8" w:rsidR="00E5359D" w:rsidRDefault="00E3621A" w:rsidP="00E5359D">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rPr>
        <w:drawing>
          <wp:inline distT="0" distB="0" distL="0" distR="0" wp14:anchorId="2C663979" wp14:editId="2B2CA648">
            <wp:extent cx="5731510" cy="2956789"/>
            <wp:effectExtent l="0" t="0" r="2540" b="15240"/>
            <wp:docPr id="1698247603" name="Chart 1">
              <a:extLst xmlns:a="http://schemas.openxmlformats.org/drawingml/2006/main">
                <a:ext uri="{FF2B5EF4-FFF2-40B4-BE49-F238E27FC236}">
                  <a16:creationId xmlns:a16="http://schemas.microsoft.com/office/drawing/2014/main" id="{37C78BB3-C3EF-4B36-971E-F94F6FC4FB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6A13E0D" w14:textId="4402AB2E" w:rsidR="00E5359D" w:rsidRPr="00E3621A" w:rsidRDefault="00E5359D" w:rsidP="00E5359D">
      <w:pPr>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C49ED6F" w14:textId="77777777" w:rsidR="00104D9B" w:rsidRDefault="00104D9B" w:rsidP="00104D9B">
      <w:pPr>
        <w:spacing w:line="240"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4AAC19C" w14:textId="77777777" w:rsidR="00104D9B" w:rsidRDefault="00104D9B" w:rsidP="00104D9B">
      <w:pPr>
        <w:spacing w:line="240"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E5D91D4" w14:textId="77777777" w:rsidR="00104D9B" w:rsidRDefault="00104D9B" w:rsidP="00104D9B">
      <w:pPr>
        <w:spacing w:line="240"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1A62166" w14:textId="77777777" w:rsidR="00104D9B" w:rsidRDefault="00104D9B" w:rsidP="00104D9B">
      <w:pPr>
        <w:spacing w:line="240"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18B4E04" w14:textId="77777777" w:rsidR="00104D9B" w:rsidRDefault="00104D9B" w:rsidP="00104D9B">
      <w:pPr>
        <w:spacing w:line="240"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124902A7" w14:textId="6D5C1B2C" w:rsidR="00104D9B" w:rsidRPr="00104D9B" w:rsidRDefault="00104D9B" w:rsidP="00104D9B">
      <w:pPr>
        <w:spacing w:line="240" w:lineRule="auto"/>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Key Observations from Rolling Volatility:</w:t>
      </w:r>
    </w:p>
    <w:tbl>
      <w:tblPr>
        <w:tblStyle w:val="TableGrid"/>
        <w:tblW w:w="11280" w:type="dxa"/>
        <w:tblLook w:val="04A0" w:firstRow="1" w:lastRow="0" w:firstColumn="1" w:lastColumn="0" w:noHBand="0" w:noVBand="1"/>
      </w:tblPr>
      <w:tblGrid>
        <w:gridCol w:w="2798"/>
        <w:gridCol w:w="2373"/>
        <w:gridCol w:w="6109"/>
      </w:tblGrid>
      <w:tr w:rsidR="00104D9B" w:rsidRPr="00104D9B" w14:paraId="6DAEEEC6" w14:textId="77777777" w:rsidTr="00EA4EBE">
        <w:tc>
          <w:tcPr>
            <w:tcW w:w="0" w:type="auto"/>
            <w:hideMark/>
          </w:tcPr>
          <w:p w14:paraId="15F76AB5" w14:textId="77777777" w:rsidR="00104D9B" w:rsidRPr="00104D9B" w:rsidRDefault="00104D9B" w:rsidP="00104D9B">
            <w:pPr>
              <w:spacing w:after="160"/>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Period</w:t>
            </w:r>
          </w:p>
        </w:tc>
        <w:tc>
          <w:tcPr>
            <w:tcW w:w="0" w:type="auto"/>
            <w:hideMark/>
          </w:tcPr>
          <w:p w14:paraId="4FC55168" w14:textId="77777777" w:rsidR="00104D9B" w:rsidRPr="00104D9B" w:rsidRDefault="00104D9B" w:rsidP="00104D9B">
            <w:pPr>
              <w:spacing w:after="160"/>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Rolling Volatility Range</w:t>
            </w:r>
          </w:p>
        </w:tc>
        <w:tc>
          <w:tcPr>
            <w:tcW w:w="0" w:type="auto"/>
            <w:hideMark/>
          </w:tcPr>
          <w:p w14:paraId="5FD0F0B3" w14:textId="77777777" w:rsidR="00104D9B" w:rsidRPr="00104D9B" w:rsidRDefault="00104D9B" w:rsidP="00104D9B">
            <w:pPr>
              <w:spacing w:after="160"/>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What happened</w:t>
            </w:r>
          </w:p>
        </w:tc>
      </w:tr>
      <w:tr w:rsidR="00104D9B" w:rsidRPr="00104D9B" w14:paraId="00264CE5" w14:textId="77777777" w:rsidTr="00EA4EBE">
        <w:tc>
          <w:tcPr>
            <w:tcW w:w="0" w:type="auto"/>
            <w:hideMark/>
          </w:tcPr>
          <w:p w14:paraId="6B0B0369" w14:textId="77777777" w:rsidR="00104D9B" w:rsidRPr="00104D9B" w:rsidRDefault="00104D9B" w:rsidP="00104D9B">
            <w:pPr>
              <w:spacing w:after="160"/>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March 2021 - December 2021</w:t>
            </w:r>
          </w:p>
        </w:tc>
        <w:tc>
          <w:tcPr>
            <w:tcW w:w="0" w:type="auto"/>
            <w:hideMark/>
          </w:tcPr>
          <w:p w14:paraId="208EB920" w14:textId="77777777" w:rsidR="00104D9B" w:rsidRPr="00104D9B" w:rsidRDefault="00104D9B" w:rsidP="00104D9B">
            <w:pPr>
              <w:spacing w:after="160"/>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0.59% to 1.58%</w:t>
            </w:r>
          </w:p>
        </w:tc>
        <w:tc>
          <w:tcPr>
            <w:tcW w:w="0" w:type="auto"/>
            <w:hideMark/>
          </w:tcPr>
          <w:p w14:paraId="1E60BC58" w14:textId="77777777" w:rsidR="00104D9B" w:rsidRPr="00104D9B" w:rsidRDefault="00104D9B" w:rsidP="00104D9B">
            <w:pPr>
              <w:spacing w:after="160"/>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Low volatility, stable post-COVID recovery</w:t>
            </w:r>
          </w:p>
        </w:tc>
      </w:tr>
      <w:tr w:rsidR="00104D9B" w:rsidRPr="00104D9B" w14:paraId="22EA6FF4" w14:textId="77777777" w:rsidTr="00EA4EBE">
        <w:tc>
          <w:tcPr>
            <w:tcW w:w="0" w:type="auto"/>
            <w:hideMark/>
          </w:tcPr>
          <w:p w14:paraId="5860A742" w14:textId="77777777" w:rsidR="00104D9B" w:rsidRPr="00104D9B" w:rsidRDefault="00104D9B" w:rsidP="00104D9B">
            <w:pPr>
              <w:spacing w:after="160"/>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January 2022 - May 2023</w:t>
            </w:r>
          </w:p>
        </w:tc>
        <w:tc>
          <w:tcPr>
            <w:tcW w:w="0" w:type="auto"/>
            <w:hideMark/>
          </w:tcPr>
          <w:p w14:paraId="0EFD866B" w14:textId="77777777" w:rsidR="00104D9B" w:rsidRPr="00104D9B" w:rsidRDefault="00104D9B" w:rsidP="00104D9B">
            <w:pPr>
              <w:spacing w:after="160"/>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1.70% to 2.41%</w:t>
            </w:r>
          </w:p>
        </w:tc>
        <w:tc>
          <w:tcPr>
            <w:tcW w:w="0" w:type="auto"/>
            <w:hideMark/>
          </w:tcPr>
          <w:p w14:paraId="2F1A66E7" w14:textId="5AB11D55" w:rsidR="00104D9B" w:rsidRPr="00104D9B" w:rsidRDefault="00104D9B" w:rsidP="00104D9B">
            <w:pPr>
              <w:spacing w:after="160"/>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Increasing volatility due to rate hikes and </w:t>
            </w:r>
            <w:r w:rsidR="00EA4EBE">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global</w:t>
            </w:r>
            <w:r w:rsidR="00EA4EBE">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u</w:t>
            </w: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ncertainty</w:t>
            </w:r>
          </w:p>
        </w:tc>
      </w:tr>
      <w:tr w:rsidR="00104D9B" w:rsidRPr="00104D9B" w14:paraId="3E07BFB4" w14:textId="77777777" w:rsidTr="00EA4EBE">
        <w:tc>
          <w:tcPr>
            <w:tcW w:w="0" w:type="auto"/>
            <w:hideMark/>
          </w:tcPr>
          <w:p w14:paraId="16D5BAC9" w14:textId="77777777" w:rsidR="00104D9B" w:rsidRPr="00104D9B" w:rsidRDefault="00104D9B" w:rsidP="00104D9B">
            <w:pPr>
              <w:spacing w:after="160"/>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June 2023 - December 2024</w:t>
            </w:r>
          </w:p>
        </w:tc>
        <w:tc>
          <w:tcPr>
            <w:tcW w:w="0" w:type="auto"/>
            <w:hideMark/>
          </w:tcPr>
          <w:p w14:paraId="206B6E03" w14:textId="77777777" w:rsidR="00104D9B" w:rsidRPr="00104D9B" w:rsidRDefault="00104D9B" w:rsidP="00104D9B">
            <w:pPr>
              <w:spacing w:after="160"/>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0.50% to 3.34%</w:t>
            </w:r>
          </w:p>
        </w:tc>
        <w:tc>
          <w:tcPr>
            <w:tcW w:w="0" w:type="auto"/>
            <w:hideMark/>
          </w:tcPr>
          <w:p w14:paraId="54683D62" w14:textId="77777777" w:rsidR="00104D9B" w:rsidRPr="00104D9B" w:rsidRDefault="00104D9B" w:rsidP="00104D9B">
            <w:pPr>
              <w:spacing w:after="160"/>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Volatility spiked then stabilized after DLG</w:t>
            </w:r>
          </w:p>
        </w:tc>
      </w:tr>
      <w:tr w:rsidR="00104D9B" w:rsidRPr="00104D9B" w14:paraId="113D5C44" w14:textId="77777777" w:rsidTr="00EA4EBE">
        <w:tc>
          <w:tcPr>
            <w:tcW w:w="0" w:type="auto"/>
            <w:hideMark/>
          </w:tcPr>
          <w:p w14:paraId="4A5233D5" w14:textId="77777777" w:rsidR="00104D9B" w:rsidRPr="00104D9B" w:rsidRDefault="00104D9B" w:rsidP="00104D9B">
            <w:pPr>
              <w:spacing w:after="160"/>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January 2025 - January 2026</w:t>
            </w:r>
          </w:p>
        </w:tc>
        <w:tc>
          <w:tcPr>
            <w:tcW w:w="0" w:type="auto"/>
            <w:hideMark/>
          </w:tcPr>
          <w:p w14:paraId="4E9B4B3E" w14:textId="77777777" w:rsidR="00104D9B" w:rsidRPr="00104D9B" w:rsidRDefault="00104D9B" w:rsidP="00104D9B">
            <w:pPr>
              <w:spacing w:after="160"/>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1.14% to 3.34%</w:t>
            </w:r>
          </w:p>
        </w:tc>
        <w:tc>
          <w:tcPr>
            <w:tcW w:w="0" w:type="auto"/>
            <w:hideMark/>
          </w:tcPr>
          <w:p w14:paraId="36A273B3" w14:textId="77777777" w:rsidR="00104D9B" w:rsidRPr="00104D9B" w:rsidRDefault="00104D9B" w:rsidP="00104D9B">
            <w:pPr>
              <w:spacing w:after="160"/>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Moderate volatility with declining trend</w:t>
            </w:r>
          </w:p>
        </w:tc>
      </w:tr>
    </w:tbl>
    <w:p w14:paraId="34D14B3D" w14:textId="77777777" w:rsidR="00EA4EBE" w:rsidRDefault="00EA4EBE" w:rsidP="00104D9B">
      <w:pPr>
        <w:spacing w:line="240"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A09660E" w14:textId="203F3B43" w:rsidR="00104D9B" w:rsidRPr="00104D9B" w:rsidRDefault="00104D9B" w:rsidP="00104D9B">
      <w:pPr>
        <w:spacing w:line="240"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u w:val="single"/>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Peak Volatility</w:t>
      </w: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r w:rsidRPr="00104D9B">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3.34% (December 2024</w:t>
      </w: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p w14:paraId="559D209E" w14:textId="77777777" w:rsidR="00104D9B" w:rsidRPr="00104D9B" w:rsidRDefault="00104D9B" w:rsidP="00104D9B">
      <w:pPr>
        <w:spacing w:line="240"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u w:val="single"/>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Lowest Volatility</w:t>
      </w:r>
      <w:r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w:t>
      </w:r>
      <w:r w:rsidRPr="00104D9B">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0.50% (August 2023)</w:t>
      </w:r>
    </w:p>
    <w:p w14:paraId="07F93F38" w14:textId="77777777" w:rsidR="00104D9B" w:rsidRPr="00104D9B" w:rsidRDefault="00104D9B" w:rsidP="00104D9B">
      <w:pPr>
        <w:spacing w:line="240" w:lineRule="auto"/>
        <w:rPr>
          <w:rFonts w:ascii="Times New Roman" w:hAnsi="Times New Roman" w:cs="Times New Roman"/>
          <w:b/>
          <w:bCs/>
          <w:color w:val="000000" w:themeColor="text1"/>
          <w:spacing w:val="10"/>
          <w:u w:val="single"/>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b/>
          <w:bCs/>
          <w:color w:val="000000" w:themeColor="text1"/>
          <w:spacing w:val="10"/>
          <w:u w:val="single"/>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Interpretation:</w:t>
      </w:r>
    </w:p>
    <w:p w14:paraId="7FFAF772" w14:textId="3CF237C6" w:rsidR="00104D9B" w:rsidRPr="00104D9B" w:rsidRDefault="00104D9B" w:rsidP="00104D9B">
      <w:pPr>
        <w:spacing w:line="240" w:lineRule="auto"/>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104D9B">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Rolling 12-month volatility remained below 1.6% during the initial post-COVID recovery phase (March to December 2021). </w:t>
      </w:r>
      <w:r w:rsidR="00EA4EBE" w:rsidRPr="00E04649">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Volatility increased during this period, coinciding with RBI’s rate hike cycle and global economic uncertainty</w:t>
      </w:r>
      <w:r w:rsidRPr="00104D9B">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p w14:paraId="59F3C1C8" w14:textId="0F26550F" w:rsidR="00104D9B" w:rsidRPr="00104D9B" w:rsidRDefault="00EA4EBE" w:rsidP="00104D9B">
      <w:pPr>
        <w:spacing w:line="240"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04649">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Following the implementation of DLG guidelines in June 2023, volatility exhibited a mixed pattern—rising to a peak of 3.34% in December 2024 before gradually declining. This suggests that while regulatory changes may be associated with short-term adjustments in market </w:t>
      </w:r>
      <w:proofErr w:type="spellStart"/>
      <w:r w:rsidRPr="00E04649">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behavior</w:t>
      </w:r>
      <w:proofErr w:type="spellEnd"/>
      <w:r w:rsidRPr="00E04649">
        <w:rPr>
          <w:rFonts w:ascii="Times New Roman" w:hAnsi="Times New Roman" w:cs="Times New Roman"/>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the subsequent moderation in volatility may also reflect broader macroeconomic stabilization alongside regulatory intervention</w:t>
      </w:r>
      <w:r w:rsidR="00104D9B" w:rsidRPr="00104D9B">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p w14:paraId="10133236" w14:textId="73E8CF8D" w:rsidR="00E5359D" w:rsidRDefault="000C3372" w:rsidP="00E5359D">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rPr>
        <w:drawing>
          <wp:inline distT="0" distB="0" distL="0" distR="0" wp14:anchorId="456F58C5" wp14:editId="69C9B43D">
            <wp:extent cx="6537960" cy="2865120"/>
            <wp:effectExtent l="0" t="0" r="15240" b="11430"/>
            <wp:docPr id="1958724279" name="Chart 1">
              <a:extLst xmlns:a="http://schemas.openxmlformats.org/drawingml/2006/main">
                <a:ext uri="{FF2B5EF4-FFF2-40B4-BE49-F238E27FC236}">
                  <a16:creationId xmlns:a16="http://schemas.microsoft.com/office/drawing/2014/main" id="{42598A36-81BA-4873-B91A-F5847BE11D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833A4DD" w14:textId="7D193EF5" w:rsidR="00104D9B" w:rsidRPr="00104D9B" w:rsidRDefault="00104D9B" w:rsidP="00C24FF1">
      <w:pPr>
        <w:rPr>
          <w:rFonts w:ascii="Times New Roman" w:hAnsi="Times New Roman" w:cs="Times New Roman"/>
          <w:i/>
          <w:i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Times New Roman" w:hAnsi="Times New Roman" w:cs="Times New Roman"/>
          <w:i/>
          <w:i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The f</w:t>
      </w:r>
      <w:r w:rsidRPr="00104D9B">
        <w:rPr>
          <w:rFonts w:ascii="Times New Roman" w:hAnsi="Times New Roman" w:cs="Times New Roman"/>
          <w:i/>
          <w:i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igure</w:t>
      </w:r>
      <w:r>
        <w:rPr>
          <w:rFonts w:ascii="Times New Roman" w:hAnsi="Times New Roman" w:cs="Times New Roman"/>
          <w:i/>
          <w:i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above</w:t>
      </w:r>
      <w:r w:rsidRPr="00104D9B">
        <w:rPr>
          <w:rFonts w:ascii="Times New Roman" w:hAnsi="Times New Roman" w:cs="Times New Roman"/>
          <w:i/>
          <w:i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shows the rolling 12-month volatility of bank credit growth over time. It clearly highlights the structural shift in volatility patterns following the COVID-19 period. Volatility remains relatively low and stable during the pre-COVID period, while significant </w:t>
      </w:r>
      <w:r w:rsidRPr="00104D9B">
        <w:rPr>
          <w:rFonts w:ascii="Times New Roman" w:hAnsi="Times New Roman" w:cs="Times New Roman"/>
          <w:i/>
          <w:i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fluctuations are observed in the post-COVID phase, indicating increased sensitivity of credit growth to macroeconomic and policy changes.</w:t>
      </w:r>
    </w:p>
    <w:p w14:paraId="164C7026" w14:textId="77777777" w:rsidR="00104D9B" w:rsidRPr="00104D9B" w:rsidRDefault="00104D9B" w:rsidP="00C24FF1">
      <w:pPr>
        <w:rPr>
          <w:rFonts w:ascii="Times New Roman" w:hAnsi="Times New Roman" w:cs="Times New Roman"/>
          <w:i/>
          <w:i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EF93FFD" w14:textId="77777777" w:rsidR="00104D9B" w:rsidRDefault="00104D9B" w:rsidP="00C24FF1">
      <w:pPr>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0641403" w14:textId="21B0D6F8" w:rsidR="00C24FF1" w:rsidRPr="00C24FF1" w:rsidRDefault="00C24FF1" w:rsidP="00C24FF1">
      <w:pPr>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COVID-19 Resilience Analysis</w:t>
      </w:r>
    </w:p>
    <w:tbl>
      <w:tblPr>
        <w:tblStyle w:val="TableGrid"/>
        <w:tblW w:w="0" w:type="auto"/>
        <w:tblLook w:val="04A0" w:firstRow="1" w:lastRow="0" w:firstColumn="1" w:lastColumn="0" w:noHBand="0" w:noVBand="1"/>
      </w:tblPr>
      <w:tblGrid>
        <w:gridCol w:w="4144"/>
        <w:gridCol w:w="4576"/>
      </w:tblGrid>
      <w:tr w:rsidR="00C24FF1" w:rsidRPr="00C24FF1" w14:paraId="032C0CAF" w14:textId="77777777" w:rsidTr="00C24FF1">
        <w:tc>
          <w:tcPr>
            <w:tcW w:w="0" w:type="auto"/>
            <w:hideMark/>
          </w:tcPr>
          <w:p w14:paraId="0A607223" w14:textId="77777777" w:rsidR="00C24FF1" w:rsidRPr="00C24FF1" w:rsidRDefault="00C24FF1" w:rsidP="00C24FF1">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Metric</w:t>
            </w:r>
          </w:p>
        </w:tc>
        <w:tc>
          <w:tcPr>
            <w:tcW w:w="0" w:type="auto"/>
            <w:hideMark/>
          </w:tcPr>
          <w:p w14:paraId="31076149" w14:textId="77777777" w:rsidR="00C24FF1" w:rsidRPr="00C24FF1" w:rsidRDefault="00C24FF1" w:rsidP="00C24FF1">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Value</w:t>
            </w:r>
          </w:p>
        </w:tc>
      </w:tr>
      <w:tr w:rsidR="00C24FF1" w:rsidRPr="00C24FF1" w14:paraId="16C795CD" w14:textId="77777777" w:rsidTr="00C24FF1">
        <w:tc>
          <w:tcPr>
            <w:tcW w:w="0" w:type="auto"/>
            <w:hideMark/>
          </w:tcPr>
          <w:p w14:paraId="4BEF3CE9" w14:textId="77777777" w:rsidR="00C24FF1" w:rsidRPr="00C24FF1" w:rsidRDefault="00C24FF1" w:rsidP="00C24FF1">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Pre-COVID Credit Growth</w:t>
            </w:r>
          </w:p>
        </w:tc>
        <w:tc>
          <w:tcPr>
            <w:tcW w:w="0" w:type="auto"/>
            <w:hideMark/>
          </w:tcPr>
          <w:p w14:paraId="34009E59" w14:textId="77777777" w:rsidR="00C24FF1" w:rsidRPr="00C24FF1" w:rsidRDefault="00C24FF1" w:rsidP="00C24FF1">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~9%</w:t>
            </w:r>
          </w:p>
        </w:tc>
      </w:tr>
      <w:tr w:rsidR="00C24FF1" w:rsidRPr="00C24FF1" w14:paraId="7B2BF972" w14:textId="77777777" w:rsidTr="00C24FF1">
        <w:tc>
          <w:tcPr>
            <w:tcW w:w="0" w:type="auto"/>
            <w:hideMark/>
          </w:tcPr>
          <w:p w14:paraId="01CA884F" w14:textId="77777777" w:rsidR="00C24FF1" w:rsidRPr="00C24FF1" w:rsidRDefault="00C24FF1" w:rsidP="00C24FF1">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Lowest Credit Growth during COVID</w:t>
            </w:r>
          </w:p>
        </w:tc>
        <w:tc>
          <w:tcPr>
            <w:tcW w:w="0" w:type="auto"/>
            <w:hideMark/>
          </w:tcPr>
          <w:p w14:paraId="51DBDFF7" w14:textId="77777777" w:rsidR="00C24FF1" w:rsidRPr="00C24FF1" w:rsidRDefault="00C24FF1" w:rsidP="00C24FF1">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7.73% (August 2020)</w:t>
            </w:r>
          </w:p>
        </w:tc>
      </w:tr>
      <w:tr w:rsidR="00C24FF1" w:rsidRPr="00C24FF1" w14:paraId="7FCCF206" w14:textId="77777777" w:rsidTr="00C24FF1">
        <w:tc>
          <w:tcPr>
            <w:tcW w:w="0" w:type="auto"/>
            <w:hideMark/>
          </w:tcPr>
          <w:p w14:paraId="52BA0611" w14:textId="77777777" w:rsidR="00C24FF1" w:rsidRPr="00C24FF1" w:rsidRDefault="00C24FF1" w:rsidP="00C24FF1">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Recovery Time</w:t>
            </w:r>
          </w:p>
        </w:tc>
        <w:tc>
          <w:tcPr>
            <w:tcW w:w="0" w:type="auto"/>
            <w:hideMark/>
          </w:tcPr>
          <w:p w14:paraId="4587A4E0" w14:textId="20934338" w:rsidR="00C24FF1" w:rsidRPr="00C24FF1" w:rsidRDefault="00C24FF1" w:rsidP="00C24FF1">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~2 months(Returned to 9%+ by Nov 2020)</w:t>
            </w:r>
          </w:p>
        </w:tc>
      </w:tr>
    </w:tbl>
    <w:p w14:paraId="69273C7A" w14:textId="1B143303" w:rsidR="00E5359D" w:rsidRDefault="00C24FF1" w:rsidP="008654B0">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Interpretation:</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The Indian banking system demonstrated remarkable resilience during the COVID-19 crisis. Credit growth declined from around 9% in early 2020 to a low of 7.73% in August 2020 — a modest drop. Importantly, credit growth never turned negative. Recovery was rapid, with growth returning to pre-pandemic levels (9%+) by November 2020. This resilience can be attributed to RBI’s monetary easing and liquidity support measures.</w:t>
      </w:r>
    </w:p>
    <w:p w14:paraId="2637F69C" w14:textId="77777777" w:rsidR="00C24FF1" w:rsidRDefault="00C24FF1" w:rsidP="008654B0">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D18CBDD" w14:textId="5F483D73" w:rsidR="00C24FF1" w:rsidRPr="00C24FF1" w:rsidRDefault="00C24FF1" w:rsidP="00C24FF1">
      <w:pPr>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04649">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w:t>
      </w:r>
      <w:r w:rsidRPr="00C24FF1">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 vs POST DLG Policy Comparison</w:t>
      </w:r>
    </w:p>
    <w:tbl>
      <w:tblPr>
        <w:tblStyle w:val="TableGrid"/>
        <w:tblW w:w="0" w:type="auto"/>
        <w:tblLook w:val="04A0" w:firstRow="1" w:lastRow="0" w:firstColumn="1" w:lastColumn="0" w:noHBand="0" w:noVBand="1"/>
      </w:tblPr>
      <w:tblGrid>
        <w:gridCol w:w="2096"/>
        <w:gridCol w:w="2773"/>
        <w:gridCol w:w="2783"/>
        <w:gridCol w:w="1364"/>
      </w:tblGrid>
      <w:tr w:rsidR="00C24FF1" w:rsidRPr="00C24FF1" w14:paraId="2C555A54" w14:textId="77777777" w:rsidTr="00C24FF1">
        <w:tc>
          <w:tcPr>
            <w:tcW w:w="0" w:type="auto"/>
            <w:hideMark/>
          </w:tcPr>
          <w:p w14:paraId="6E7AFC31" w14:textId="77777777" w:rsidR="00C24FF1" w:rsidRDefault="00C24FF1" w:rsidP="00C24FF1">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1B51B3FB" w14:textId="6986ABD5"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Metric</w:t>
            </w:r>
          </w:p>
        </w:tc>
        <w:tc>
          <w:tcPr>
            <w:tcW w:w="0" w:type="auto"/>
            <w:hideMark/>
          </w:tcPr>
          <w:p w14:paraId="28725DBB"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PRE-DLG (Before June 2023)</w:t>
            </w:r>
          </w:p>
        </w:tc>
        <w:tc>
          <w:tcPr>
            <w:tcW w:w="0" w:type="auto"/>
            <w:hideMark/>
          </w:tcPr>
          <w:p w14:paraId="46829597"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POST-DLG (From June 2023)</w:t>
            </w:r>
          </w:p>
        </w:tc>
        <w:tc>
          <w:tcPr>
            <w:tcW w:w="0" w:type="auto"/>
            <w:hideMark/>
          </w:tcPr>
          <w:p w14:paraId="1AB1A6B6"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Change</w:t>
            </w:r>
          </w:p>
        </w:tc>
      </w:tr>
      <w:tr w:rsidR="00C24FF1" w:rsidRPr="00C24FF1" w14:paraId="7E103355" w14:textId="77777777" w:rsidTr="00C24FF1">
        <w:tc>
          <w:tcPr>
            <w:tcW w:w="0" w:type="auto"/>
            <w:hideMark/>
          </w:tcPr>
          <w:p w14:paraId="6177038F"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Average Growth</w:t>
            </w:r>
          </w:p>
        </w:tc>
        <w:tc>
          <w:tcPr>
            <w:tcW w:w="0" w:type="auto"/>
            <w:hideMark/>
          </w:tcPr>
          <w:p w14:paraId="2DD063E3"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12.63%</w:t>
            </w:r>
          </w:p>
        </w:tc>
        <w:tc>
          <w:tcPr>
            <w:tcW w:w="0" w:type="auto"/>
            <w:hideMark/>
          </w:tcPr>
          <w:p w14:paraId="2E94B443"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13.83%</w:t>
            </w:r>
          </w:p>
        </w:tc>
        <w:tc>
          <w:tcPr>
            <w:tcW w:w="0" w:type="auto"/>
            <w:hideMark/>
          </w:tcPr>
          <w:p w14:paraId="19D43C0B"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+1.20%</w:t>
            </w:r>
          </w:p>
        </w:tc>
      </w:tr>
      <w:tr w:rsidR="00C24FF1" w:rsidRPr="00C24FF1" w14:paraId="74442BEA" w14:textId="77777777" w:rsidTr="00C24FF1">
        <w:tc>
          <w:tcPr>
            <w:tcW w:w="0" w:type="auto"/>
            <w:hideMark/>
          </w:tcPr>
          <w:p w14:paraId="4E8E2CB4"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Volatility (S.D.)</w:t>
            </w:r>
          </w:p>
        </w:tc>
        <w:tc>
          <w:tcPr>
            <w:tcW w:w="0" w:type="auto"/>
            <w:hideMark/>
          </w:tcPr>
          <w:p w14:paraId="3F55D3BA"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4.25%</w:t>
            </w:r>
          </w:p>
        </w:tc>
        <w:tc>
          <w:tcPr>
            <w:tcW w:w="0" w:type="auto"/>
            <w:hideMark/>
          </w:tcPr>
          <w:p w14:paraId="5AA85458"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4.17%</w:t>
            </w:r>
          </w:p>
        </w:tc>
        <w:tc>
          <w:tcPr>
            <w:tcW w:w="0" w:type="auto"/>
            <w:hideMark/>
          </w:tcPr>
          <w:p w14:paraId="06B8A2A4"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-0.08%</w:t>
            </w:r>
          </w:p>
        </w:tc>
      </w:tr>
      <w:tr w:rsidR="00C24FF1" w:rsidRPr="00C24FF1" w14:paraId="01B7767F" w14:textId="77777777" w:rsidTr="00C24FF1">
        <w:tc>
          <w:tcPr>
            <w:tcW w:w="0" w:type="auto"/>
            <w:hideMark/>
          </w:tcPr>
          <w:p w14:paraId="7655B501"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Average UPI Volume</w:t>
            </w:r>
          </w:p>
        </w:tc>
        <w:tc>
          <w:tcPr>
            <w:tcW w:w="0" w:type="auto"/>
            <w:hideMark/>
          </w:tcPr>
          <w:p w14:paraId="510DD116"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404.96 Cr</w:t>
            </w:r>
          </w:p>
        </w:tc>
        <w:tc>
          <w:tcPr>
            <w:tcW w:w="0" w:type="auto"/>
            <w:hideMark/>
          </w:tcPr>
          <w:p w14:paraId="1A1B1E39"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1535.50 Cr</w:t>
            </w:r>
          </w:p>
        </w:tc>
        <w:tc>
          <w:tcPr>
            <w:tcW w:w="0" w:type="auto"/>
            <w:hideMark/>
          </w:tcPr>
          <w:p w14:paraId="1D633365"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+1130.54 Cr</w:t>
            </w:r>
          </w:p>
        </w:tc>
      </w:tr>
    </w:tbl>
    <w:p w14:paraId="094692D9" w14:textId="63C89307" w:rsidR="00C24FF1" w:rsidRDefault="00C24FF1" w:rsidP="00C24FF1">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spellStart"/>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Interpretation:</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Following</w:t>
      </w:r>
      <w:proofErr w:type="spellEnd"/>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the DLG guidelines, average credit growth increased by 1.20% while volatility decreased slightly. This indicates that formalizing digital lending risks helped stabilize the market even as digital transaction volumes (UPI) exploded by over 1100 crore transactions.</w:t>
      </w:r>
    </w:p>
    <w:p w14:paraId="42ACA043" w14:textId="024A260E" w:rsidR="00C24FF1" w:rsidRPr="00C24FF1" w:rsidRDefault="00C24FF1" w:rsidP="00C24FF1">
      <w:pPr>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Correlation Analysis</w:t>
      </w:r>
    </w:p>
    <w:tbl>
      <w:tblPr>
        <w:tblStyle w:val="TableGrid"/>
        <w:tblW w:w="0" w:type="auto"/>
        <w:tblLook w:val="04A0" w:firstRow="1" w:lastRow="0" w:firstColumn="1" w:lastColumn="0" w:noHBand="0" w:noVBand="1"/>
      </w:tblPr>
      <w:tblGrid>
        <w:gridCol w:w="4035"/>
        <w:gridCol w:w="2063"/>
        <w:gridCol w:w="2498"/>
      </w:tblGrid>
      <w:tr w:rsidR="00C24FF1" w:rsidRPr="00C24FF1" w14:paraId="0D57639A" w14:textId="77777777" w:rsidTr="00C24FF1">
        <w:tc>
          <w:tcPr>
            <w:tcW w:w="0" w:type="auto"/>
            <w:hideMark/>
          </w:tcPr>
          <w:p w14:paraId="738CFF75" w14:textId="77777777" w:rsidR="00C24FF1" w:rsidRPr="00C24FF1" w:rsidRDefault="00C24FF1" w:rsidP="00C24FF1">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Correlation Pair</w:t>
            </w:r>
          </w:p>
        </w:tc>
        <w:tc>
          <w:tcPr>
            <w:tcW w:w="0" w:type="auto"/>
            <w:hideMark/>
          </w:tcPr>
          <w:p w14:paraId="03311289" w14:textId="77777777" w:rsidR="00C24FF1" w:rsidRPr="00C24FF1" w:rsidRDefault="00C24FF1" w:rsidP="00C24FF1">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Correlation Value</w:t>
            </w:r>
          </w:p>
        </w:tc>
        <w:tc>
          <w:tcPr>
            <w:tcW w:w="0" w:type="auto"/>
            <w:hideMark/>
          </w:tcPr>
          <w:p w14:paraId="0CA0BBF5" w14:textId="77777777" w:rsidR="00C24FF1" w:rsidRPr="00C24FF1" w:rsidRDefault="00C24FF1" w:rsidP="00C24FF1">
            <w:pPr>
              <w:spacing w:after="160" w:line="259"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Strength</w:t>
            </w:r>
          </w:p>
        </w:tc>
      </w:tr>
      <w:tr w:rsidR="00C24FF1" w:rsidRPr="00C24FF1" w14:paraId="41716C23" w14:textId="77777777" w:rsidTr="00C24FF1">
        <w:tc>
          <w:tcPr>
            <w:tcW w:w="0" w:type="auto"/>
            <w:hideMark/>
          </w:tcPr>
          <w:p w14:paraId="6C94BAE3"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UPI Volume vs Personal Loans Growth</w:t>
            </w:r>
          </w:p>
        </w:tc>
        <w:tc>
          <w:tcPr>
            <w:tcW w:w="0" w:type="auto"/>
            <w:hideMark/>
          </w:tcPr>
          <w:p w14:paraId="20D29101"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0.149</w:t>
            </w:r>
          </w:p>
        </w:tc>
        <w:tc>
          <w:tcPr>
            <w:tcW w:w="0" w:type="auto"/>
            <w:hideMark/>
          </w:tcPr>
          <w:p w14:paraId="49118D95"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Weak Positive</w:t>
            </w:r>
          </w:p>
        </w:tc>
      </w:tr>
      <w:tr w:rsidR="00C24FF1" w:rsidRPr="00C24FF1" w14:paraId="12B133A1" w14:textId="77777777" w:rsidTr="00C24FF1">
        <w:tc>
          <w:tcPr>
            <w:tcW w:w="0" w:type="auto"/>
            <w:hideMark/>
          </w:tcPr>
          <w:p w14:paraId="374E60D8"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UPI Volume vs Bank Credit Growth</w:t>
            </w:r>
          </w:p>
        </w:tc>
        <w:tc>
          <w:tcPr>
            <w:tcW w:w="0" w:type="auto"/>
            <w:hideMark/>
          </w:tcPr>
          <w:p w14:paraId="54E6080C"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0.083</w:t>
            </w:r>
          </w:p>
        </w:tc>
        <w:tc>
          <w:tcPr>
            <w:tcW w:w="0" w:type="auto"/>
            <w:hideMark/>
          </w:tcPr>
          <w:p w14:paraId="17CF9C70"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Very Weak / Negligible</w:t>
            </w:r>
          </w:p>
        </w:tc>
      </w:tr>
      <w:tr w:rsidR="00C24FF1" w:rsidRPr="00C24FF1" w14:paraId="2A7FB685" w14:textId="77777777" w:rsidTr="00C24FF1">
        <w:tc>
          <w:tcPr>
            <w:tcW w:w="0" w:type="auto"/>
            <w:hideMark/>
          </w:tcPr>
          <w:p w14:paraId="33167125"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Repo Rate vs Bank Credit Growth</w:t>
            </w:r>
          </w:p>
        </w:tc>
        <w:tc>
          <w:tcPr>
            <w:tcW w:w="0" w:type="auto"/>
            <w:hideMark/>
          </w:tcPr>
          <w:p w14:paraId="7EFF611E"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0.594</w:t>
            </w:r>
          </w:p>
        </w:tc>
        <w:tc>
          <w:tcPr>
            <w:tcW w:w="0" w:type="auto"/>
            <w:hideMark/>
          </w:tcPr>
          <w:p w14:paraId="263DC372" w14:textId="77777777" w:rsidR="00C24FF1" w:rsidRPr="00C24FF1" w:rsidRDefault="00C24FF1" w:rsidP="00C24FF1">
            <w:pPr>
              <w:spacing w:after="160" w:line="259"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Moderate Positive</w:t>
            </w:r>
          </w:p>
        </w:tc>
      </w:tr>
    </w:tbl>
    <w:p w14:paraId="0089D873" w14:textId="0AD9C16E" w:rsidR="00C24FF1" w:rsidRPr="00C24FF1" w:rsidRDefault="00C24FF1" w:rsidP="00C24FF1">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Interpretation:</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The correlation analysis reveals nuanced relationships. UPI volume shows a weak correlation with personal loan growth, indicating that digital payment adoption alone does not drive lending expansion.</w:t>
      </w:r>
    </w:p>
    <w:p w14:paraId="434155DF" w14:textId="77777777" w:rsidR="00C24FF1" w:rsidRPr="00C24FF1" w:rsidRDefault="00C24FF1" w:rsidP="00C24FF1">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UPI volume exhibits negligible correlation with total bank credit, suggesting that broader credit growth is influenced by multiple sectors beyond retail digital activity.</w:t>
      </w:r>
    </w:p>
    <w:p w14:paraId="3C88184A" w14:textId="77777777" w:rsidR="00C24FF1" w:rsidRDefault="00C24FF1" w:rsidP="00C24FF1">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The positive correlation between repo rate and credit growth suggests that credit demand remained strong even during periods of monetary tightening, possibly due to underlying economic recovery and structural demand factors.</w:t>
      </w:r>
    </w:p>
    <w:p w14:paraId="1285E696" w14:textId="0EB63333" w:rsidR="00C24FF1" w:rsidRDefault="00104D9B" w:rsidP="00C24FF1">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FIGURE-1</w:t>
      </w:r>
      <w:r w:rsidR="009C49A4">
        <w:rPr>
          <w:noProof/>
        </w:rPr>
        <w:drawing>
          <wp:inline distT="0" distB="0" distL="0" distR="0" wp14:anchorId="7919C390" wp14:editId="112206BE">
            <wp:extent cx="5731510" cy="2842260"/>
            <wp:effectExtent l="0" t="0" r="2540" b="15240"/>
            <wp:docPr id="1239353784" name="Chart 1">
              <a:extLst xmlns:a="http://schemas.openxmlformats.org/drawingml/2006/main">
                <a:ext uri="{FF2B5EF4-FFF2-40B4-BE49-F238E27FC236}">
                  <a16:creationId xmlns:a16="http://schemas.microsoft.com/office/drawing/2014/main" id="{2B30A4AC-2DBD-47EA-9B96-76E0F96548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355C520" w14:textId="53448315" w:rsidR="00104D9B" w:rsidRDefault="00104D9B" w:rsidP="00C24FF1">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FIGURE-2</w:t>
      </w:r>
    </w:p>
    <w:p w14:paraId="67EAE0C5" w14:textId="77AF6FE8" w:rsidR="009C49A4" w:rsidRDefault="009C49A4" w:rsidP="00C24FF1">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rPr>
        <w:drawing>
          <wp:inline distT="0" distB="0" distL="0" distR="0" wp14:anchorId="206518E9" wp14:editId="6B79A42D">
            <wp:extent cx="5731510" cy="3150235"/>
            <wp:effectExtent l="0" t="0" r="2540" b="12065"/>
            <wp:docPr id="380249739" name="Chart 1">
              <a:extLst xmlns:a="http://schemas.openxmlformats.org/drawingml/2006/main">
                <a:ext uri="{FF2B5EF4-FFF2-40B4-BE49-F238E27FC236}">
                  <a16:creationId xmlns:a16="http://schemas.microsoft.com/office/drawing/2014/main" id="{E5B19167-B274-49F3-BDE1-53BB080DA0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E0E1D95" w14:textId="77777777" w:rsidR="009C49A4" w:rsidRDefault="009C49A4" w:rsidP="00C24FF1">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A2FF36B" w14:textId="77777777" w:rsidR="00C24FF1" w:rsidRPr="00C24FF1" w:rsidRDefault="00C24FF1" w:rsidP="00C24FF1">
      <w:pPr>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Results / Findings</w:t>
      </w:r>
    </w:p>
    <w:p w14:paraId="1C9A4151" w14:textId="77777777" w:rsidR="00C24FF1" w:rsidRPr="00C24FF1" w:rsidRDefault="00C24FF1" w:rsidP="00C24FF1">
      <w:pPr>
        <w:numPr>
          <w:ilvl w:val="0"/>
          <w:numId w:val="12"/>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Strong Credit Growth:</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Bank credit grew at an average annual rate of 13.19%. </w:t>
      </w:r>
    </w:p>
    <w:p w14:paraId="64C87433" w14:textId="77777777" w:rsidR="00C24FF1" w:rsidRPr="00C24FF1" w:rsidRDefault="00C24FF1" w:rsidP="00C24FF1">
      <w:pPr>
        <w:numPr>
          <w:ilvl w:val="0"/>
          <w:numId w:val="12"/>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COVID Resilience:</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Credit growth declined modestly but recovered quickly and never turned negative. </w:t>
      </w:r>
    </w:p>
    <w:p w14:paraId="791EB612" w14:textId="77777777" w:rsidR="00C24FF1" w:rsidRPr="00C24FF1" w:rsidRDefault="00C24FF1" w:rsidP="00C24FF1">
      <w:pPr>
        <w:numPr>
          <w:ilvl w:val="0"/>
          <w:numId w:val="12"/>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Post-COVID Expansion:</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Higher growth with increased volatility. </w:t>
      </w:r>
    </w:p>
    <w:p w14:paraId="2A3BBFCF" w14:textId="77777777" w:rsidR="00C24FF1" w:rsidRPr="00C24FF1" w:rsidRDefault="00C24FF1" w:rsidP="00C24FF1">
      <w:pPr>
        <w:numPr>
          <w:ilvl w:val="0"/>
          <w:numId w:val="12"/>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Stabilization Post-DLG:</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Volatility declined significantly while growth remained stable. </w:t>
      </w:r>
    </w:p>
    <w:p w14:paraId="513A37FF" w14:textId="77777777" w:rsidR="00C24FF1" w:rsidRPr="00C24FF1" w:rsidRDefault="00C24FF1" w:rsidP="00C24FF1">
      <w:pPr>
        <w:numPr>
          <w:ilvl w:val="0"/>
          <w:numId w:val="12"/>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UPI Expansion:</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Rapid increase in UPI transactions alongside credit growth. </w:t>
      </w:r>
    </w:p>
    <w:p w14:paraId="41831CA2" w14:textId="77777777" w:rsidR="00C24FF1" w:rsidRPr="00C24FF1" w:rsidRDefault="00C24FF1" w:rsidP="00C24FF1">
      <w:pPr>
        <w:numPr>
          <w:ilvl w:val="0"/>
          <w:numId w:val="12"/>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Weak UPI-Credit Link:</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Minimal direct correlation between UPI and total credit. </w:t>
      </w:r>
    </w:p>
    <w:p w14:paraId="5DEE5B60" w14:textId="77777777" w:rsidR="00C24FF1" w:rsidRDefault="00C24FF1" w:rsidP="00C24FF1">
      <w:pPr>
        <w:numPr>
          <w:ilvl w:val="0"/>
          <w:numId w:val="12"/>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Strong Demand Indicators:</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Credit demand remained strong despite policy tightening.</w:t>
      </w:r>
    </w:p>
    <w:p w14:paraId="502B8568" w14:textId="77777777" w:rsidR="00C24FF1" w:rsidRDefault="00C24FF1" w:rsidP="00C24FF1">
      <w:pPr>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4B2B62A7" w14:textId="77777777" w:rsidR="00C24FF1" w:rsidRPr="00C24FF1" w:rsidRDefault="00C24FF1" w:rsidP="00C24FF1">
      <w:pPr>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Conclusion</w:t>
      </w:r>
    </w:p>
    <w:p w14:paraId="5A74805A" w14:textId="77777777" w:rsidR="00C24FF1" w:rsidRPr="00C24FF1" w:rsidRDefault="00C24FF1" w:rsidP="00C24FF1">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This study </w:t>
      </w:r>
      <w:proofErr w:type="spellStart"/>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analyzed</w:t>
      </w:r>
      <w:proofErr w:type="spellEnd"/>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the volatility and resilience of bank credit growth in India during the digital lending expansion era (2019–2026).</w:t>
      </w:r>
    </w:p>
    <w:p w14:paraId="426CD4D0" w14:textId="77777777" w:rsidR="00C24FF1" w:rsidRPr="00C24FF1" w:rsidRDefault="00C24FF1" w:rsidP="00C24FF1">
      <w:pPr>
        <w:numPr>
          <w:ilvl w:val="0"/>
          <w:numId w:val="14"/>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Resilience is Proven:</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The banking system absorbed shocks effectively. </w:t>
      </w:r>
    </w:p>
    <w:p w14:paraId="642CFA6A" w14:textId="77777777" w:rsidR="00C24FF1" w:rsidRPr="00C24FF1" w:rsidRDefault="00C24FF1" w:rsidP="00C24FF1">
      <w:pPr>
        <w:numPr>
          <w:ilvl w:val="0"/>
          <w:numId w:val="14"/>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Regulation Contributes to Stability:</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DLG coincides with reduced volatility, though not the sole factor. </w:t>
      </w:r>
    </w:p>
    <w:p w14:paraId="2C8F9FF5" w14:textId="77777777" w:rsidR="00C24FF1" w:rsidRPr="00C24FF1" w:rsidRDefault="00C24FF1" w:rsidP="00C24FF1">
      <w:pPr>
        <w:numPr>
          <w:ilvl w:val="0"/>
          <w:numId w:val="14"/>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Digital Lending is Multi-Dimensional:</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Driven by multiple structural factors beyond UPI. </w:t>
      </w:r>
    </w:p>
    <w:p w14:paraId="1CF83F9D" w14:textId="77777777" w:rsidR="00C24FF1" w:rsidRPr="00C24FF1" w:rsidRDefault="00C24FF1" w:rsidP="00C24FF1">
      <w:pPr>
        <w:numPr>
          <w:ilvl w:val="0"/>
          <w:numId w:val="14"/>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Demand-Side Strength:</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Economic recovery sustained credit growth despite rising interest rates. </w:t>
      </w:r>
    </w:p>
    <w:p w14:paraId="7BFCE9FE" w14:textId="77777777" w:rsidR="00C24FF1" w:rsidRPr="00C24FF1" w:rsidRDefault="00C24FF1" w:rsidP="00C24FF1">
      <w:pPr>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Limitations of the Study</w:t>
      </w:r>
    </w:p>
    <w:p w14:paraId="30A9A3CB" w14:textId="77777777" w:rsidR="00C24FF1" w:rsidRPr="00C24FF1" w:rsidRDefault="00C24FF1" w:rsidP="00C24FF1">
      <w:pPr>
        <w:numPr>
          <w:ilvl w:val="0"/>
          <w:numId w:val="16"/>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UPI Data Availability:</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UPI transaction volume data is available only from November 2019, limiting pre-COVID comparison.</w:t>
      </w:r>
    </w:p>
    <w:p w14:paraId="76FD7996" w14:textId="77777777" w:rsidR="00C24FF1" w:rsidRPr="00C24FF1" w:rsidRDefault="00C24FF1" w:rsidP="00C24FF1">
      <w:pPr>
        <w:numPr>
          <w:ilvl w:val="0"/>
          <w:numId w:val="16"/>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YoY Growth Calculation:</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Year-on-year growth calculations for 2019 are not possible due to unavailability of 2018 data.</w:t>
      </w:r>
    </w:p>
    <w:p w14:paraId="752E5D56" w14:textId="77777777" w:rsidR="00C24FF1" w:rsidRPr="00C24FF1" w:rsidRDefault="00C24FF1" w:rsidP="00C24FF1">
      <w:pPr>
        <w:numPr>
          <w:ilvl w:val="0"/>
          <w:numId w:val="16"/>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Causality Not Established:</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Correlation analysis does not imply causation; observed relationships may be influenced by unobserved variables.</w:t>
      </w:r>
    </w:p>
    <w:p w14:paraId="0EBF912D" w14:textId="77777777" w:rsidR="00C24FF1" w:rsidRPr="00C24FF1" w:rsidRDefault="00C24FF1" w:rsidP="00C24FF1">
      <w:pPr>
        <w:numPr>
          <w:ilvl w:val="0"/>
          <w:numId w:val="16"/>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Single Country Focus:</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Findings are specific to India and may not generalize to other economies.</w:t>
      </w:r>
    </w:p>
    <w:p w14:paraId="6631123C" w14:textId="77777777" w:rsidR="00C24FF1" w:rsidRPr="00C24FF1" w:rsidRDefault="00C24FF1" w:rsidP="00C24FF1">
      <w:pPr>
        <w:numPr>
          <w:ilvl w:val="0"/>
          <w:numId w:val="16"/>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Proxy Limitations:</w:t>
      </w: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UPI volume is used as a proxy for digital lending expansion; other proxies (fintech loan disbursals, digital lending app downloads) could provide additional insights.</w:t>
      </w:r>
    </w:p>
    <w:p w14:paraId="7B216780" w14:textId="77777777" w:rsidR="00C24FF1" w:rsidRDefault="00C24FF1" w:rsidP="00C24FF1">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B521DF6" w14:textId="77777777" w:rsidR="00C24FF1" w:rsidRPr="00C24FF1" w:rsidRDefault="00C24FF1" w:rsidP="00C24FF1">
      <w:pPr>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References</w:t>
      </w:r>
    </w:p>
    <w:p w14:paraId="685421DC" w14:textId="77777777" w:rsidR="00C24FF1" w:rsidRPr="00C24FF1" w:rsidRDefault="00C24FF1" w:rsidP="00C24FF1">
      <w:pPr>
        <w:numPr>
          <w:ilvl w:val="0"/>
          <w:numId w:val="17"/>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Reserve Bank of India. (2025). Monetary Survey (Table 8). DBIE.</w:t>
      </w:r>
    </w:p>
    <w:p w14:paraId="7EA3EE4B" w14:textId="77777777" w:rsidR="00C24FF1" w:rsidRPr="00C24FF1" w:rsidRDefault="00C24FF1" w:rsidP="00C24FF1">
      <w:pPr>
        <w:numPr>
          <w:ilvl w:val="0"/>
          <w:numId w:val="17"/>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Reserve Bank of India. (2026). Payment System Indicators (Table 45). DBIE.</w:t>
      </w:r>
    </w:p>
    <w:p w14:paraId="71F9AE0D" w14:textId="77777777" w:rsidR="00C24FF1" w:rsidRPr="00C24FF1" w:rsidRDefault="00C24FF1" w:rsidP="00C24FF1">
      <w:pPr>
        <w:numPr>
          <w:ilvl w:val="0"/>
          <w:numId w:val="17"/>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Reserve Bank of India. (2025). Sectoral Deployment of Bank Credit. DBIE.</w:t>
      </w:r>
    </w:p>
    <w:p w14:paraId="12971DD7" w14:textId="77777777" w:rsidR="00C24FF1" w:rsidRPr="00C24FF1" w:rsidRDefault="00C24FF1" w:rsidP="00C24FF1">
      <w:pPr>
        <w:numPr>
          <w:ilvl w:val="0"/>
          <w:numId w:val="17"/>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Reserve Bank of India. (2025). Major Monetary Policy Rates. DBIE.</w:t>
      </w:r>
    </w:p>
    <w:p w14:paraId="4A6070FC" w14:textId="77777777" w:rsidR="00C24FF1" w:rsidRPr="00C24FF1" w:rsidRDefault="00C24FF1" w:rsidP="00C24FF1">
      <w:pPr>
        <w:numPr>
          <w:ilvl w:val="0"/>
          <w:numId w:val="17"/>
        </w:num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Reserve Bank of India. (2023). Guidelines on Default Loss Guarantee (DLG) in Digital Lending. Circular No. RBI/2023-24/41, dated June 8, 2023.</w:t>
      </w:r>
    </w:p>
    <w:p w14:paraId="0AE6C57D" w14:textId="77777777" w:rsidR="00C24FF1" w:rsidRPr="00C24FF1" w:rsidRDefault="00C24FF1" w:rsidP="00C24FF1">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1D978565" w14:textId="4C6CD406" w:rsidR="00C24FF1" w:rsidRPr="00C24FF1" w:rsidRDefault="00C24FF1" w:rsidP="00C24FF1">
      <w:pPr>
        <w:tabs>
          <w:tab w:val="left" w:pos="1716"/>
        </w:tabs>
        <w:spacing w:line="240"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Appendix (Optional)</w:t>
      </w:r>
    </w:p>
    <w:p w14:paraId="58E531E1" w14:textId="77777777" w:rsidR="00C24FF1" w:rsidRPr="00C24FF1" w:rsidRDefault="00C24FF1" w:rsidP="00C24FF1">
      <w:pPr>
        <w:tabs>
          <w:tab w:val="left" w:pos="1716"/>
        </w:tabs>
        <w:spacing w:line="240"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Table A1: Summary Statistics</w:t>
      </w:r>
    </w:p>
    <w:tbl>
      <w:tblPr>
        <w:tblStyle w:val="TableGrid"/>
        <w:tblW w:w="11280" w:type="dxa"/>
        <w:tblLook w:val="04A0" w:firstRow="1" w:lastRow="0" w:firstColumn="1" w:lastColumn="0" w:noHBand="0" w:noVBand="1"/>
      </w:tblPr>
      <w:tblGrid>
        <w:gridCol w:w="5524"/>
        <w:gridCol w:w="5756"/>
      </w:tblGrid>
      <w:tr w:rsidR="00C24FF1" w:rsidRPr="00C24FF1" w14:paraId="3D526470" w14:textId="77777777" w:rsidTr="00C24FF1">
        <w:tc>
          <w:tcPr>
            <w:tcW w:w="5524" w:type="dxa"/>
            <w:hideMark/>
          </w:tcPr>
          <w:p w14:paraId="6BB77BCC" w14:textId="77777777" w:rsidR="00C24FF1" w:rsidRPr="00C24FF1" w:rsidRDefault="00C24FF1" w:rsidP="00C24FF1">
            <w:pPr>
              <w:tabs>
                <w:tab w:val="left" w:pos="1716"/>
              </w:tabs>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Metric</w:t>
            </w:r>
          </w:p>
        </w:tc>
        <w:tc>
          <w:tcPr>
            <w:tcW w:w="5756" w:type="dxa"/>
            <w:hideMark/>
          </w:tcPr>
          <w:p w14:paraId="791532FF" w14:textId="77777777" w:rsidR="00C24FF1" w:rsidRPr="00C24FF1" w:rsidRDefault="00C24FF1" w:rsidP="00C24FF1">
            <w:pPr>
              <w:tabs>
                <w:tab w:val="left" w:pos="1716"/>
              </w:tabs>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Value</w:t>
            </w:r>
          </w:p>
        </w:tc>
      </w:tr>
      <w:tr w:rsidR="00C24FF1" w:rsidRPr="00C24FF1" w14:paraId="563B8B6C" w14:textId="77777777" w:rsidTr="00C24FF1">
        <w:tc>
          <w:tcPr>
            <w:tcW w:w="5524" w:type="dxa"/>
            <w:hideMark/>
          </w:tcPr>
          <w:p w14:paraId="1CE3E3A6" w14:textId="77777777" w:rsidR="00C24FF1" w:rsidRPr="00C24FF1" w:rsidRDefault="00C24FF1" w:rsidP="00C24FF1">
            <w:pPr>
              <w:tabs>
                <w:tab w:val="left" w:pos="1716"/>
              </w:tabs>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Average Credit Growth (Full Period)</w:t>
            </w:r>
          </w:p>
        </w:tc>
        <w:tc>
          <w:tcPr>
            <w:tcW w:w="5756" w:type="dxa"/>
            <w:hideMark/>
          </w:tcPr>
          <w:p w14:paraId="6DA10B4D" w14:textId="77777777" w:rsidR="00C24FF1" w:rsidRPr="00C24FF1" w:rsidRDefault="00C24FF1" w:rsidP="00C24FF1">
            <w:pPr>
              <w:tabs>
                <w:tab w:val="left" w:pos="1716"/>
              </w:tabs>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13.19%</w:t>
            </w:r>
          </w:p>
        </w:tc>
      </w:tr>
      <w:tr w:rsidR="00C24FF1" w:rsidRPr="00C24FF1" w14:paraId="05D0E175" w14:textId="77777777" w:rsidTr="00C24FF1">
        <w:tc>
          <w:tcPr>
            <w:tcW w:w="5524" w:type="dxa"/>
            <w:hideMark/>
          </w:tcPr>
          <w:p w14:paraId="45609137" w14:textId="77777777" w:rsidR="00C24FF1" w:rsidRPr="00C24FF1" w:rsidRDefault="00C24FF1" w:rsidP="00C24FF1">
            <w:pPr>
              <w:tabs>
                <w:tab w:val="left" w:pos="1716"/>
              </w:tabs>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Overall Volatility (SD)</w:t>
            </w:r>
          </w:p>
        </w:tc>
        <w:tc>
          <w:tcPr>
            <w:tcW w:w="5756" w:type="dxa"/>
            <w:hideMark/>
          </w:tcPr>
          <w:p w14:paraId="24AFC2CC" w14:textId="77777777" w:rsidR="00C24FF1" w:rsidRPr="00C24FF1" w:rsidRDefault="00C24FF1" w:rsidP="00C24FF1">
            <w:pPr>
              <w:tabs>
                <w:tab w:val="left" w:pos="1716"/>
              </w:tabs>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4.22%</w:t>
            </w:r>
          </w:p>
        </w:tc>
      </w:tr>
      <w:tr w:rsidR="00C24FF1" w:rsidRPr="00C24FF1" w14:paraId="4C4DC52E" w14:textId="77777777" w:rsidTr="00C24FF1">
        <w:tc>
          <w:tcPr>
            <w:tcW w:w="5524" w:type="dxa"/>
            <w:hideMark/>
          </w:tcPr>
          <w:p w14:paraId="3965F4B6" w14:textId="77777777" w:rsidR="00C24FF1" w:rsidRPr="00C24FF1" w:rsidRDefault="00C24FF1" w:rsidP="00C24FF1">
            <w:pPr>
              <w:tabs>
                <w:tab w:val="left" w:pos="1716"/>
              </w:tabs>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Maximum Credit Growth</w:t>
            </w:r>
          </w:p>
        </w:tc>
        <w:tc>
          <w:tcPr>
            <w:tcW w:w="5756" w:type="dxa"/>
            <w:hideMark/>
          </w:tcPr>
          <w:p w14:paraId="1769AE3B" w14:textId="77777777" w:rsidR="00C24FF1" w:rsidRPr="00C24FF1" w:rsidRDefault="00C24FF1" w:rsidP="00C24FF1">
            <w:pPr>
              <w:tabs>
                <w:tab w:val="left" w:pos="1716"/>
              </w:tabs>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19.58%</w:t>
            </w:r>
          </w:p>
        </w:tc>
      </w:tr>
      <w:tr w:rsidR="00C24FF1" w:rsidRPr="00C24FF1" w14:paraId="3A70E3B6" w14:textId="77777777" w:rsidTr="00C24FF1">
        <w:tc>
          <w:tcPr>
            <w:tcW w:w="5524" w:type="dxa"/>
            <w:hideMark/>
          </w:tcPr>
          <w:p w14:paraId="5E9254F1" w14:textId="77777777" w:rsidR="00C24FF1" w:rsidRPr="00C24FF1" w:rsidRDefault="00C24FF1" w:rsidP="00C24FF1">
            <w:pPr>
              <w:tabs>
                <w:tab w:val="left" w:pos="1716"/>
              </w:tabs>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Minimum Credit Growth</w:t>
            </w:r>
          </w:p>
        </w:tc>
        <w:tc>
          <w:tcPr>
            <w:tcW w:w="5756" w:type="dxa"/>
            <w:hideMark/>
          </w:tcPr>
          <w:p w14:paraId="2ED19C96" w14:textId="77777777" w:rsidR="00C24FF1" w:rsidRPr="00C24FF1" w:rsidRDefault="00C24FF1" w:rsidP="00C24FF1">
            <w:pPr>
              <w:tabs>
                <w:tab w:val="left" w:pos="1716"/>
              </w:tabs>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6.39%</w:t>
            </w:r>
          </w:p>
        </w:tc>
      </w:tr>
      <w:tr w:rsidR="00C24FF1" w:rsidRPr="00C24FF1" w14:paraId="18D3F7CE" w14:textId="77777777" w:rsidTr="00C24FF1">
        <w:tc>
          <w:tcPr>
            <w:tcW w:w="5524" w:type="dxa"/>
            <w:hideMark/>
          </w:tcPr>
          <w:p w14:paraId="17DC7FF5" w14:textId="77777777" w:rsidR="00C24FF1" w:rsidRPr="00C24FF1" w:rsidRDefault="00C24FF1" w:rsidP="00C24FF1">
            <w:pPr>
              <w:tabs>
                <w:tab w:val="left" w:pos="1716"/>
              </w:tabs>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Average UPI Volume</w:t>
            </w:r>
          </w:p>
        </w:tc>
        <w:tc>
          <w:tcPr>
            <w:tcW w:w="5756" w:type="dxa"/>
            <w:hideMark/>
          </w:tcPr>
          <w:p w14:paraId="01258E62" w14:textId="77777777" w:rsidR="00C24FF1" w:rsidRPr="00C24FF1" w:rsidRDefault="00C24FF1" w:rsidP="00C24FF1">
            <w:pPr>
              <w:tabs>
                <w:tab w:val="left" w:pos="1716"/>
              </w:tabs>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909 crore</w:t>
            </w:r>
          </w:p>
        </w:tc>
      </w:tr>
      <w:tr w:rsidR="00C24FF1" w:rsidRPr="00C24FF1" w14:paraId="720CA1B1" w14:textId="77777777" w:rsidTr="00C24FF1">
        <w:tc>
          <w:tcPr>
            <w:tcW w:w="5524" w:type="dxa"/>
            <w:hideMark/>
          </w:tcPr>
          <w:p w14:paraId="16D66824" w14:textId="77777777" w:rsidR="00C24FF1" w:rsidRPr="00C24FF1" w:rsidRDefault="00C24FF1" w:rsidP="00C24FF1">
            <w:pPr>
              <w:tabs>
                <w:tab w:val="left" w:pos="1716"/>
              </w:tabs>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Average Repo Rate</w:t>
            </w:r>
          </w:p>
        </w:tc>
        <w:tc>
          <w:tcPr>
            <w:tcW w:w="5756" w:type="dxa"/>
            <w:hideMark/>
          </w:tcPr>
          <w:p w14:paraId="3A65E4F0" w14:textId="77777777" w:rsidR="00C24FF1" w:rsidRPr="00C24FF1" w:rsidRDefault="00C24FF1" w:rsidP="00C24FF1">
            <w:pPr>
              <w:tabs>
                <w:tab w:val="left" w:pos="1716"/>
              </w:tabs>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24FF1">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5.18%</w:t>
            </w:r>
          </w:p>
        </w:tc>
      </w:tr>
    </w:tbl>
    <w:p w14:paraId="5FC03886" w14:textId="77777777" w:rsidR="00C24FF1" w:rsidRPr="00C24FF1" w:rsidRDefault="00C24FF1" w:rsidP="00C24FF1">
      <w:pPr>
        <w:tabs>
          <w:tab w:val="left" w:pos="1716"/>
        </w:tabs>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2D9C2AF" w14:textId="306B17AD" w:rsidR="00E3621A" w:rsidRPr="00E3621A" w:rsidRDefault="00E3621A" w:rsidP="00E3621A">
      <w:pPr>
        <w:spacing w:line="240"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Table A2: Pre vs Post COVID Comparison</w:t>
      </w:r>
    </w:p>
    <w:tbl>
      <w:tblPr>
        <w:tblStyle w:val="TableGrid"/>
        <w:tblW w:w="11280" w:type="dxa"/>
        <w:tblLook w:val="04A0" w:firstRow="1" w:lastRow="0" w:firstColumn="1" w:lastColumn="0" w:noHBand="0" w:noVBand="1"/>
      </w:tblPr>
      <w:tblGrid>
        <w:gridCol w:w="5438"/>
        <w:gridCol w:w="3597"/>
        <w:gridCol w:w="2245"/>
      </w:tblGrid>
      <w:tr w:rsidR="00E3621A" w:rsidRPr="00E3621A" w14:paraId="3775596C" w14:textId="77777777" w:rsidTr="00E3621A">
        <w:tc>
          <w:tcPr>
            <w:tcW w:w="0" w:type="auto"/>
            <w:hideMark/>
          </w:tcPr>
          <w:p w14:paraId="270EA312"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Period</w:t>
            </w:r>
          </w:p>
        </w:tc>
        <w:tc>
          <w:tcPr>
            <w:tcW w:w="0" w:type="auto"/>
            <w:hideMark/>
          </w:tcPr>
          <w:p w14:paraId="7792A7CD"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Average Growth</w:t>
            </w:r>
          </w:p>
        </w:tc>
        <w:tc>
          <w:tcPr>
            <w:tcW w:w="0" w:type="auto"/>
            <w:hideMark/>
          </w:tcPr>
          <w:p w14:paraId="503C6180"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Volatility</w:t>
            </w:r>
          </w:p>
        </w:tc>
      </w:tr>
      <w:tr w:rsidR="00E3621A" w:rsidRPr="00E3621A" w14:paraId="04B9629F" w14:textId="77777777" w:rsidTr="00E3621A">
        <w:tc>
          <w:tcPr>
            <w:tcW w:w="0" w:type="auto"/>
            <w:hideMark/>
          </w:tcPr>
          <w:p w14:paraId="2BF4499F"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Pre-COVID (2019-2020)</w:t>
            </w:r>
          </w:p>
        </w:tc>
        <w:tc>
          <w:tcPr>
            <w:tcW w:w="0" w:type="auto"/>
            <w:hideMark/>
          </w:tcPr>
          <w:p w14:paraId="55B913E1"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8.29%</w:t>
            </w:r>
          </w:p>
        </w:tc>
        <w:tc>
          <w:tcPr>
            <w:tcW w:w="0" w:type="auto"/>
            <w:hideMark/>
          </w:tcPr>
          <w:p w14:paraId="383C84A4"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0.64%</w:t>
            </w:r>
          </w:p>
        </w:tc>
      </w:tr>
      <w:tr w:rsidR="00E3621A" w:rsidRPr="00E3621A" w14:paraId="66CC59F5" w14:textId="77777777" w:rsidTr="00E3621A">
        <w:tc>
          <w:tcPr>
            <w:tcW w:w="0" w:type="auto"/>
            <w:hideMark/>
          </w:tcPr>
          <w:p w14:paraId="57091579"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Post-COVID (2021-2026)</w:t>
            </w:r>
          </w:p>
        </w:tc>
        <w:tc>
          <w:tcPr>
            <w:tcW w:w="0" w:type="auto"/>
            <w:hideMark/>
          </w:tcPr>
          <w:p w14:paraId="1289A724"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13.99%</w:t>
            </w:r>
          </w:p>
        </w:tc>
        <w:tc>
          <w:tcPr>
            <w:tcW w:w="0" w:type="auto"/>
            <w:hideMark/>
          </w:tcPr>
          <w:p w14:paraId="45DDBDEF"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4.01%</w:t>
            </w:r>
          </w:p>
        </w:tc>
      </w:tr>
    </w:tbl>
    <w:p w14:paraId="7F9BC26C" w14:textId="77777777" w:rsidR="00E3621A" w:rsidRDefault="00E3621A" w:rsidP="00E3621A">
      <w:pPr>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512E93D" w14:textId="5FCC4556" w:rsidR="00E04649" w:rsidRDefault="00E04649" w:rsidP="00E3621A">
      <w:pPr>
        <w:spacing w:line="240"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rPr>
        <w:drawing>
          <wp:inline distT="0" distB="0" distL="0" distR="0" wp14:anchorId="3A8CD86C" wp14:editId="48577B74">
            <wp:extent cx="4575910" cy="2716330"/>
            <wp:effectExtent l="0" t="0" r="0" b="8255"/>
            <wp:docPr id="2093977689" name="Chart 1">
              <a:extLst xmlns:a="http://schemas.openxmlformats.org/drawingml/2006/main">
                <a:ext uri="{FF2B5EF4-FFF2-40B4-BE49-F238E27FC236}">
                  <a16:creationId xmlns:a16="http://schemas.microsoft.com/office/drawing/2014/main" id="{89C9EFDC-70C8-61D5-0543-218318E95F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B164481" w14:textId="77777777" w:rsidR="00E04649" w:rsidRDefault="00E04649" w:rsidP="00E3621A">
      <w:pPr>
        <w:spacing w:line="240"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E89B77B" w14:textId="77777777" w:rsidR="00E04649" w:rsidRDefault="00E04649" w:rsidP="00E3621A">
      <w:pPr>
        <w:spacing w:line="240"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D7D2E69" w14:textId="77777777" w:rsidR="00E04649" w:rsidRDefault="00E04649" w:rsidP="00E3621A">
      <w:pPr>
        <w:spacing w:line="240" w:lineRule="auto"/>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48A3E791" w14:textId="6450DEB8" w:rsidR="00E3621A" w:rsidRPr="00E3621A" w:rsidRDefault="00E3621A" w:rsidP="00E3621A">
      <w:pPr>
        <w:spacing w:line="240" w:lineRule="auto"/>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Table A3: Pre vs Post DLG Comparison</w:t>
      </w:r>
    </w:p>
    <w:tbl>
      <w:tblPr>
        <w:tblStyle w:val="TableGrid"/>
        <w:tblW w:w="11280" w:type="dxa"/>
        <w:tblLook w:val="04A0" w:firstRow="1" w:lastRow="0" w:firstColumn="1" w:lastColumn="0" w:noHBand="0" w:noVBand="1"/>
      </w:tblPr>
      <w:tblGrid>
        <w:gridCol w:w="5964"/>
        <w:gridCol w:w="3273"/>
        <w:gridCol w:w="2043"/>
      </w:tblGrid>
      <w:tr w:rsidR="00E3621A" w:rsidRPr="00E3621A" w14:paraId="5F10359A" w14:textId="77777777" w:rsidTr="00E3621A">
        <w:tc>
          <w:tcPr>
            <w:tcW w:w="0" w:type="auto"/>
            <w:hideMark/>
          </w:tcPr>
          <w:p w14:paraId="52F77E2A"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Period</w:t>
            </w:r>
          </w:p>
        </w:tc>
        <w:tc>
          <w:tcPr>
            <w:tcW w:w="0" w:type="auto"/>
            <w:hideMark/>
          </w:tcPr>
          <w:p w14:paraId="7BAFFEF3"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Average Growth</w:t>
            </w:r>
          </w:p>
        </w:tc>
        <w:tc>
          <w:tcPr>
            <w:tcW w:w="0" w:type="auto"/>
            <w:hideMark/>
          </w:tcPr>
          <w:p w14:paraId="29D4AD7C"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Volatility</w:t>
            </w:r>
          </w:p>
        </w:tc>
      </w:tr>
      <w:tr w:rsidR="00E3621A" w:rsidRPr="00E3621A" w14:paraId="2E1E0DFD" w14:textId="77777777" w:rsidTr="00E3621A">
        <w:tc>
          <w:tcPr>
            <w:tcW w:w="0" w:type="auto"/>
            <w:hideMark/>
          </w:tcPr>
          <w:p w14:paraId="0BE540B2"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Pre-DLG (Before June 2023)</w:t>
            </w:r>
          </w:p>
        </w:tc>
        <w:tc>
          <w:tcPr>
            <w:tcW w:w="0" w:type="auto"/>
            <w:hideMark/>
          </w:tcPr>
          <w:p w14:paraId="74EFA7C8"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13.18%</w:t>
            </w:r>
          </w:p>
        </w:tc>
        <w:tc>
          <w:tcPr>
            <w:tcW w:w="0" w:type="auto"/>
            <w:hideMark/>
          </w:tcPr>
          <w:p w14:paraId="2904898F"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4.22%</w:t>
            </w:r>
          </w:p>
        </w:tc>
      </w:tr>
      <w:tr w:rsidR="00E3621A" w:rsidRPr="00E3621A" w14:paraId="364F7B84" w14:textId="77777777" w:rsidTr="00E3621A">
        <w:tc>
          <w:tcPr>
            <w:tcW w:w="0" w:type="auto"/>
            <w:hideMark/>
          </w:tcPr>
          <w:p w14:paraId="520B70FC"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Post-DLG (June 2023 onwards)</w:t>
            </w:r>
          </w:p>
        </w:tc>
        <w:tc>
          <w:tcPr>
            <w:tcW w:w="0" w:type="auto"/>
            <w:hideMark/>
          </w:tcPr>
          <w:p w14:paraId="1BFA57BB"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12.63%</w:t>
            </w:r>
          </w:p>
        </w:tc>
        <w:tc>
          <w:tcPr>
            <w:tcW w:w="0" w:type="auto"/>
            <w:hideMark/>
          </w:tcPr>
          <w:p w14:paraId="6E044ECA" w14:textId="77777777" w:rsidR="00E3621A" w:rsidRPr="00E3621A" w:rsidRDefault="00E3621A" w:rsidP="00E3621A">
            <w:pPr>
              <w:spacing w:after="160"/>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3621A">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1.56%</w:t>
            </w:r>
          </w:p>
        </w:tc>
      </w:tr>
    </w:tbl>
    <w:p w14:paraId="2FC50131" w14:textId="19D45E4C" w:rsidR="00C24FF1" w:rsidRDefault="00C24FF1" w:rsidP="008654B0">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5049C9D" w14:textId="413A87C6" w:rsidR="00E3621A" w:rsidRPr="00E5359D" w:rsidRDefault="00E04649" w:rsidP="008654B0">
      <w:pPr>
        <w:rPr>
          <w:rFonts w:ascii="Times New Roman" w:hAnsi="Times New Roman" w:cs="Times New Roman"/>
          <w:bCs/>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rPr>
        <w:drawing>
          <wp:inline distT="0" distB="0" distL="0" distR="0" wp14:anchorId="7D779569" wp14:editId="16C5F2B2">
            <wp:extent cx="4229100" cy="2834640"/>
            <wp:effectExtent l="0" t="0" r="0" b="3810"/>
            <wp:docPr id="1274095729" name="Chart 1">
              <a:extLst xmlns:a="http://schemas.openxmlformats.org/drawingml/2006/main">
                <a:ext uri="{FF2B5EF4-FFF2-40B4-BE49-F238E27FC236}">
                  <a16:creationId xmlns:a16="http://schemas.microsoft.com/office/drawing/2014/main" id="{C367A152-80C7-DD49-D8A2-8E67F19F01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sectPr w:rsidR="00E3621A" w:rsidRPr="00E53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7D1"/>
    <w:multiLevelType w:val="multilevel"/>
    <w:tmpl w:val="65BC7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B3D08"/>
    <w:multiLevelType w:val="multilevel"/>
    <w:tmpl w:val="545C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A68E2"/>
    <w:multiLevelType w:val="multilevel"/>
    <w:tmpl w:val="2CA6680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D82FE7"/>
    <w:multiLevelType w:val="multilevel"/>
    <w:tmpl w:val="C92AFE8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B3670"/>
    <w:multiLevelType w:val="multilevel"/>
    <w:tmpl w:val="3D80D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682A8C"/>
    <w:multiLevelType w:val="multilevel"/>
    <w:tmpl w:val="CEA6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3913C1"/>
    <w:multiLevelType w:val="multilevel"/>
    <w:tmpl w:val="2506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E22C3"/>
    <w:multiLevelType w:val="multilevel"/>
    <w:tmpl w:val="B0B0F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361AE3"/>
    <w:multiLevelType w:val="multilevel"/>
    <w:tmpl w:val="4F6E8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EB1768"/>
    <w:multiLevelType w:val="multilevel"/>
    <w:tmpl w:val="502E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60C68"/>
    <w:multiLevelType w:val="multilevel"/>
    <w:tmpl w:val="3458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47DD0"/>
    <w:multiLevelType w:val="multilevel"/>
    <w:tmpl w:val="B510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7138A"/>
    <w:multiLevelType w:val="multilevel"/>
    <w:tmpl w:val="49AA7F3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955695"/>
    <w:multiLevelType w:val="multilevel"/>
    <w:tmpl w:val="2CA6680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287BD7"/>
    <w:multiLevelType w:val="multilevel"/>
    <w:tmpl w:val="8F5E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9716B"/>
    <w:multiLevelType w:val="multilevel"/>
    <w:tmpl w:val="F358F65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7F75F8"/>
    <w:multiLevelType w:val="multilevel"/>
    <w:tmpl w:val="DDB6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54758">
    <w:abstractNumId w:val="6"/>
  </w:num>
  <w:num w:numId="2" w16cid:durableId="730931338">
    <w:abstractNumId w:val="11"/>
  </w:num>
  <w:num w:numId="3" w16cid:durableId="168756824">
    <w:abstractNumId w:val="0"/>
  </w:num>
  <w:num w:numId="4" w16cid:durableId="1129473584">
    <w:abstractNumId w:val="8"/>
  </w:num>
  <w:num w:numId="5" w16cid:durableId="1943802506">
    <w:abstractNumId w:val="3"/>
  </w:num>
  <w:num w:numId="6" w16cid:durableId="1286958780">
    <w:abstractNumId w:val="1"/>
  </w:num>
  <w:num w:numId="7" w16cid:durableId="181668809">
    <w:abstractNumId w:val="16"/>
  </w:num>
  <w:num w:numId="8" w16cid:durableId="11035723">
    <w:abstractNumId w:val="9"/>
  </w:num>
  <w:num w:numId="9" w16cid:durableId="1946842465">
    <w:abstractNumId w:val="14"/>
  </w:num>
  <w:num w:numId="10" w16cid:durableId="1772433010">
    <w:abstractNumId w:val="10"/>
  </w:num>
  <w:num w:numId="11" w16cid:durableId="2030444940">
    <w:abstractNumId w:val="5"/>
  </w:num>
  <w:num w:numId="12" w16cid:durableId="1084492120">
    <w:abstractNumId w:val="12"/>
  </w:num>
  <w:num w:numId="13" w16cid:durableId="2018531567">
    <w:abstractNumId w:val="4"/>
  </w:num>
  <w:num w:numId="14" w16cid:durableId="1908147843">
    <w:abstractNumId w:val="15"/>
  </w:num>
  <w:num w:numId="15" w16cid:durableId="2063209649">
    <w:abstractNumId w:val="7"/>
  </w:num>
  <w:num w:numId="16" w16cid:durableId="1769158392">
    <w:abstractNumId w:val="2"/>
  </w:num>
  <w:num w:numId="17" w16cid:durableId="20851047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4B0"/>
    <w:rsid w:val="000B304B"/>
    <w:rsid w:val="000C3372"/>
    <w:rsid w:val="00104D9B"/>
    <w:rsid w:val="00131698"/>
    <w:rsid w:val="002E33F8"/>
    <w:rsid w:val="006872A4"/>
    <w:rsid w:val="008654B0"/>
    <w:rsid w:val="009C49A4"/>
    <w:rsid w:val="00A67ABC"/>
    <w:rsid w:val="00C1417F"/>
    <w:rsid w:val="00C24FF1"/>
    <w:rsid w:val="00C90768"/>
    <w:rsid w:val="00DC23CE"/>
    <w:rsid w:val="00E04649"/>
    <w:rsid w:val="00E3621A"/>
    <w:rsid w:val="00E5359D"/>
    <w:rsid w:val="00E54D3E"/>
    <w:rsid w:val="00EA4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04CA3"/>
  <w15:chartTrackingRefBased/>
  <w15:docId w15:val="{8568BD4F-40FC-45DB-B2BA-B41E7300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4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54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54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4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4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4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54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54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4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4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4B0"/>
    <w:rPr>
      <w:rFonts w:eastAsiaTheme="majorEastAsia" w:cstheme="majorBidi"/>
      <w:color w:val="272727" w:themeColor="text1" w:themeTint="D8"/>
    </w:rPr>
  </w:style>
  <w:style w:type="paragraph" w:styleId="Title">
    <w:name w:val="Title"/>
    <w:basedOn w:val="Normal"/>
    <w:next w:val="Normal"/>
    <w:link w:val="TitleChar"/>
    <w:uiPriority w:val="10"/>
    <w:qFormat/>
    <w:rsid w:val="00865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4B0"/>
    <w:pPr>
      <w:spacing w:before="160"/>
      <w:jc w:val="center"/>
    </w:pPr>
    <w:rPr>
      <w:i/>
      <w:iCs/>
      <w:color w:val="404040" w:themeColor="text1" w:themeTint="BF"/>
    </w:rPr>
  </w:style>
  <w:style w:type="character" w:customStyle="1" w:styleId="QuoteChar">
    <w:name w:val="Quote Char"/>
    <w:basedOn w:val="DefaultParagraphFont"/>
    <w:link w:val="Quote"/>
    <w:uiPriority w:val="29"/>
    <w:rsid w:val="008654B0"/>
    <w:rPr>
      <w:i/>
      <w:iCs/>
      <w:color w:val="404040" w:themeColor="text1" w:themeTint="BF"/>
    </w:rPr>
  </w:style>
  <w:style w:type="paragraph" w:styleId="ListParagraph">
    <w:name w:val="List Paragraph"/>
    <w:basedOn w:val="Normal"/>
    <w:uiPriority w:val="34"/>
    <w:qFormat/>
    <w:rsid w:val="008654B0"/>
    <w:pPr>
      <w:ind w:left="720"/>
      <w:contextualSpacing/>
    </w:pPr>
  </w:style>
  <w:style w:type="character" w:styleId="IntenseEmphasis">
    <w:name w:val="Intense Emphasis"/>
    <w:basedOn w:val="DefaultParagraphFont"/>
    <w:uiPriority w:val="21"/>
    <w:qFormat/>
    <w:rsid w:val="008654B0"/>
    <w:rPr>
      <w:i/>
      <w:iCs/>
      <w:color w:val="2F5496" w:themeColor="accent1" w:themeShade="BF"/>
    </w:rPr>
  </w:style>
  <w:style w:type="paragraph" w:styleId="IntenseQuote">
    <w:name w:val="Intense Quote"/>
    <w:basedOn w:val="Normal"/>
    <w:next w:val="Normal"/>
    <w:link w:val="IntenseQuoteChar"/>
    <w:uiPriority w:val="30"/>
    <w:qFormat/>
    <w:rsid w:val="00865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4B0"/>
    <w:rPr>
      <w:i/>
      <w:iCs/>
      <w:color w:val="2F5496" w:themeColor="accent1" w:themeShade="BF"/>
    </w:rPr>
  </w:style>
  <w:style w:type="character" w:styleId="IntenseReference">
    <w:name w:val="Intense Reference"/>
    <w:basedOn w:val="DefaultParagraphFont"/>
    <w:uiPriority w:val="32"/>
    <w:qFormat/>
    <w:rsid w:val="008654B0"/>
    <w:rPr>
      <w:b/>
      <w:bCs/>
      <w:smallCaps/>
      <w:color w:val="2F5496" w:themeColor="accent1" w:themeShade="BF"/>
      <w:spacing w:val="5"/>
    </w:rPr>
  </w:style>
  <w:style w:type="table" w:styleId="TableGrid">
    <w:name w:val="Table Grid"/>
    <w:basedOn w:val="TableNormal"/>
    <w:uiPriority w:val="39"/>
    <w:rsid w:val="00E53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7325a7d41bf05d82/&#25991;&#26723;/upi-analysis(MAI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7325a7d41bf05d82/&#25991;&#26723;/upi-analysis(MAI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7325a7d41bf05d82/&#25991;&#26723;/upi-analysis(MAIN).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7325a7d41bf05d82/&#25991;&#26723;/upi-analysis(MAIN).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7325a7d41bf05d82/&#25991;&#26723;/upi-analysis(MAIN).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7325a7d41bf05d82/&#25991;&#26723;/upi-analysis(MAIN).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7325a7d41bf05d82/&#25991;&#26723;/upi-analysis(MAIN).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600" b="1" i="0" u="none" strike="noStrike" baseline="0">
                <a:effectLst>
                  <a:outerShdw blurRad="50800" dist="38100" dir="5400000" algn="t" rotWithShape="0">
                    <a:prstClr val="black">
                      <a:alpha val="40000"/>
                    </a:prstClr>
                  </a:outerShdw>
                </a:effectLst>
              </a:rPr>
              <a:t>Bank Credit and UPI Growth in India (2019–2026)</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lotArea>
      <c:layout/>
      <c:barChart>
        <c:barDir val="col"/>
        <c:grouping val="clustered"/>
        <c:varyColors val="0"/>
        <c:ser>
          <c:idx val="0"/>
          <c:order val="0"/>
          <c:tx>
            <c:strRef>
              <c:f>Sheet1!$B$1</c:f>
              <c:strCache>
                <c:ptCount val="1"/>
                <c:pt idx="0">
                  <c:v>bank_credit (cr)</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numRef>
              <c:f>Sheet1!$A$2:$A$86</c:f>
              <c:numCache>
                <c:formatCode>m/d/yyyy</c:formatCode>
                <c:ptCount val="85"/>
                <c:pt idx="0">
                  <c:v>43466</c:v>
                </c:pt>
                <c:pt idx="1">
                  <c:v>43497</c:v>
                </c:pt>
                <c:pt idx="2">
                  <c:v>43525</c:v>
                </c:pt>
                <c:pt idx="3">
                  <c:v>43556</c:v>
                </c:pt>
                <c:pt idx="4">
                  <c:v>43586</c:v>
                </c:pt>
                <c:pt idx="5">
                  <c:v>43617</c:v>
                </c:pt>
                <c:pt idx="6">
                  <c:v>43647</c:v>
                </c:pt>
                <c:pt idx="7">
                  <c:v>43678</c:v>
                </c:pt>
                <c:pt idx="8">
                  <c:v>43709</c:v>
                </c:pt>
                <c:pt idx="9">
                  <c:v>43739</c:v>
                </c:pt>
                <c:pt idx="10">
                  <c:v>43770</c:v>
                </c:pt>
                <c:pt idx="11">
                  <c:v>43800</c:v>
                </c:pt>
                <c:pt idx="12">
                  <c:v>43831</c:v>
                </c:pt>
                <c:pt idx="13">
                  <c:v>43862</c:v>
                </c:pt>
                <c:pt idx="14">
                  <c:v>43891</c:v>
                </c:pt>
                <c:pt idx="15">
                  <c:v>43922</c:v>
                </c:pt>
                <c:pt idx="16">
                  <c:v>43952</c:v>
                </c:pt>
                <c:pt idx="17">
                  <c:v>43983</c:v>
                </c:pt>
                <c:pt idx="18">
                  <c:v>44013</c:v>
                </c:pt>
                <c:pt idx="19">
                  <c:v>44044</c:v>
                </c:pt>
                <c:pt idx="20">
                  <c:v>44075</c:v>
                </c:pt>
                <c:pt idx="21">
                  <c:v>44105</c:v>
                </c:pt>
                <c:pt idx="22">
                  <c:v>44136</c:v>
                </c:pt>
                <c:pt idx="23">
                  <c:v>44166</c:v>
                </c:pt>
                <c:pt idx="24">
                  <c:v>44197</c:v>
                </c:pt>
                <c:pt idx="25">
                  <c:v>44228</c:v>
                </c:pt>
                <c:pt idx="26">
                  <c:v>44256</c:v>
                </c:pt>
                <c:pt idx="27">
                  <c:v>44287</c:v>
                </c:pt>
                <c:pt idx="28">
                  <c:v>44317</c:v>
                </c:pt>
                <c:pt idx="29">
                  <c:v>44348</c:v>
                </c:pt>
                <c:pt idx="30">
                  <c:v>44378</c:v>
                </c:pt>
                <c:pt idx="31">
                  <c:v>44409</c:v>
                </c:pt>
                <c:pt idx="32">
                  <c:v>44440</c:v>
                </c:pt>
                <c:pt idx="33">
                  <c:v>44470</c:v>
                </c:pt>
                <c:pt idx="34">
                  <c:v>44501</c:v>
                </c:pt>
                <c:pt idx="35">
                  <c:v>44531</c:v>
                </c:pt>
                <c:pt idx="36">
                  <c:v>44562</c:v>
                </c:pt>
                <c:pt idx="37">
                  <c:v>44593</c:v>
                </c:pt>
                <c:pt idx="38">
                  <c:v>44621</c:v>
                </c:pt>
                <c:pt idx="39">
                  <c:v>44652</c:v>
                </c:pt>
                <c:pt idx="40">
                  <c:v>44682</c:v>
                </c:pt>
                <c:pt idx="41">
                  <c:v>44713</c:v>
                </c:pt>
                <c:pt idx="42">
                  <c:v>44743</c:v>
                </c:pt>
                <c:pt idx="43">
                  <c:v>44774</c:v>
                </c:pt>
                <c:pt idx="44">
                  <c:v>44805</c:v>
                </c:pt>
                <c:pt idx="45">
                  <c:v>44835</c:v>
                </c:pt>
                <c:pt idx="46">
                  <c:v>44866</c:v>
                </c:pt>
                <c:pt idx="47">
                  <c:v>44896</c:v>
                </c:pt>
                <c:pt idx="48">
                  <c:v>44927</c:v>
                </c:pt>
                <c:pt idx="49">
                  <c:v>44958</c:v>
                </c:pt>
                <c:pt idx="50">
                  <c:v>44986</c:v>
                </c:pt>
                <c:pt idx="51">
                  <c:v>45017</c:v>
                </c:pt>
                <c:pt idx="52">
                  <c:v>45047</c:v>
                </c:pt>
                <c:pt idx="53">
                  <c:v>45078</c:v>
                </c:pt>
                <c:pt idx="54">
                  <c:v>45108</c:v>
                </c:pt>
                <c:pt idx="55">
                  <c:v>45139</c:v>
                </c:pt>
                <c:pt idx="56">
                  <c:v>45170</c:v>
                </c:pt>
                <c:pt idx="57">
                  <c:v>45200</c:v>
                </c:pt>
                <c:pt idx="58">
                  <c:v>45231</c:v>
                </c:pt>
                <c:pt idx="59">
                  <c:v>45261</c:v>
                </c:pt>
                <c:pt idx="60">
                  <c:v>45292</c:v>
                </c:pt>
                <c:pt idx="61">
                  <c:v>45323</c:v>
                </c:pt>
                <c:pt idx="62">
                  <c:v>45352</c:v>
                </c:pt>
                <c:pt idx="63">
                  <c:v>45383</c:v>
                </c:pt>
                <c:pt idx="64">
                  <c:v>45413</c:v>
                </c:pt>
                <c:pt idx="65">
                  <c:v>45444</c:v>
                </c:pt>
                <c:pt idx="66">
                  <c:v>45474</c:v>
                </c:pt>
                <c:pt idx="67">
                  <c:v>45505</c:v>
                </c:pt>
                <c:pt idx="68">
                  <c:v>45536</c:v>
                </c:pt>
                <c:pt idx="69">
                  <c:v>45566</c:v>
                </c:pt>
                <c:pt idx="70">
                  <c:v>45597</c:v>
                </c:pt>
                <c:pt idx="71">
                  <c:v>45627</c:v>
                </c:pt>
                <c:pt idx="72">
                  <c:v>45658</c:v>
                </c:pt>
                <c:pt idx="73">
                  <c:v>45689</c:v>
                </c:pt>
                <c:pt idx="74">
                  <c:v>45717</c:v>
                </c:pt>
                <c:pt idx="75">
                  <c:v>45748</c:v>
                </c:pt>
                <c:pt idx="76">
                  <c:v>45778</c:v>
                </c:pt>
                <c:pt idx="77">
                  <c:v>45809</c:v>
                </c:pt>
                <c:pt idx="78">
                  <c:v>45839</c:v>
                </c:pt>
                <c:pt idx="79">
                  <c:v>45870</c:v>
                </c:pt>
                <c:pt idx="80">
                  <c:v>45901</c:v>
                </c:pt>
                <c:pt idx="81">
                  <c:v>45931</c:v>
                </c:pt>
                <c:pt idx="82">
                  <c:v>45962</c:v>
                </c:pt>
                <c:pt idx="83">
                  <c:v>45992</c:v>
                </c:pt>
                <c:pt idx="84">
                  <c:v>46023</c:v>
                </c:pt>
              </c:numCache>
            </c:numRef>
          </c:cat>
          <c:val>
            <c:numRef>
              <c:f>Sheet1!$B$2:$B$86</c:f>
              <c:numCache>
                <c:formatCode>General</c:formatCode>
                <c:ptCount val="85"/>
                <c:pt idx="2">
                  <c:v>9632516</c:v>
                </c:pt>
                <c:pt idx="3">
                  <c:v>9724811</c:v>
                </c:pt>
                <c:pt idx="4">
                  <c:v>9801448</c:v>
                </c:pt>
                <c:pt idx="5">
                  <c:v>9870260</c:v>
                </c:pt>
                <c:pt idx="6">
                  <c:v>9943632</c:v>
                </c:pt>
                <c:pt idx="7">
                  <c:v>10018556</c:v>
                </c:pt>
                <c:pt idx="8">
                  <c:v>10079854</c:v>
                </c:pt>
                <c:pt idx="9">
                  <c:v>10127861</c:v>
                </c:pt>
                <c:pt idx="10">
                  <c:v>10190096</c:v>
                </c:pt>
                <c:pt idx="11">
                  <c:v>10264633</c:v>
                </c:pt>
                <c:pt idx="12">
                  <c:v>10341940</c:v>
                </c:pt>
                <c:pt idx="13">
                  <c:v>10428357</c:v>
                </c:pt>
                <c:pt idx="14">
                  <c:v>10512492</c:v>
                </c:pt>
                <c:pt idx="15">
                  <c:v>10569180</c:v>
                </c:pt>
                <c:pt idx="16">
                  <c:v>10629455</c:v>
                </c:pt>
                <c:pt idx="17">
                  <c:v>10681736</c:v>
                </c:pt>
                <c:pt idx="18">
                  <c:v>10739845</c:v>
                </c:pt>
                <c:pt idx="19">
                  <c:v>10793189</c:v>
                </c:pt>
                <c:pt idx="20">
                  <c:v>10803825</c:v>
                </c:pt>
                <c:pt idx="21">
                  <c:v>10909055</c:v>
                </c:pt>
                <c:pt idx="22">
                  <c:v>11119885</c:v>
                </c:pt>
                <c:pt idx="23">
                  <c:v>11150000</c:v>
                </c:pt>
                <c:pt idx="24">
                  <c:v>11179417</c:v>
                </c:pt>
                <c:pt idx="25">
                  <c:v>11248719</c:v>
                </c:pt>
                <c:pt idx="26">
                  <c:v>11476283</c:v>
                </c:pt>
                <c:pt idx="27">
                  <c:v>11574375</c:v>
                </c:pt>
                <c:pt idx="28">
                  <c:v>11714619</c:v>
                </c:pt>
                <c:pt idx="29">
                  <c:v>11815112</c:v>
                </c:pt>
                <c:pt idx="30">
                  <c:v>11884244</c:v>
                </c:pt>
                <c:pt idx="31">
                  <c:v>11865401</c:v>
                </c:pt>
                <c:pt idx="32">
                  <c:v>11969886</c:v>
                </c:pt>
                <c:pt idx="33">
                  <c:v>12251033</c:v>
                </c:pt>
                <c:pt idx="34">
                  <c:v>12433606</c:v>
                </c:pt>
                <c:pt idx="35">
                  <c:v>12609666</c:v>
                </c:pt>
                <c:pt idx="36">
                  <c:v>12747773</c:v>
                </c:pt>
                <c:pt idx="37">
                  <c:v>12867929</c:v>
                </c:pt>
                <c:pt idx="38">
                  <c:v>13110013</c:v>
                </c:pt>
                <c:pt idx="39">
                  <c:v>13173772</c:v>
                </c:pt>
                <c:pt idx="40">
                  <c:v>13405062</c:v>
                </c:pt>
                <c:pt idx="41">
                  <c:v>13681526</c:v>
                </c:pt>
                <c:pt idx="42">
                  <c:v>13978144</c:v>
                </c:pt>
                <c:pt idx="43">
                  <c:v>14112173</c:v>
                </c:pt>
                <c:pt idx="44">
                  <c:v>14246529</c:v>
                </c:pt>
                <c:pt idx="45">
                  <c:v>14464360</c:v>
                </c:pt>
                <c:pt idx="46">
                  <c:v>14720139</c:v>
                </c:pt>
                <c:pt idx="47">
                  <c:v>14999993</c:v>
                </c:pt>
                <c:pt idx="48">
                  <c:v>15114575</c:v>
                </c:pt>
                <c:pt idx="49">
                  <c:v>15309031</c:v>
                </c:pt>
                <c:pt idx="50">
                  <c:v>15545198</c:v>
                </c:pt>
                <c:pt idx="51">
                  <c:v>15701344</c:v>
                </c:pt>
                <c:pt idx="52">
                  <c:v>15749514</c:v>
                </c:pt>
                <c:pt idx="53">
                  <c:v>16206672</c:v>
                </c:pt>
                <c:pt idx="54">
                  <c:v>16663977</c:v>
                </c:pt>
                <c:pt idx="55">
                  <c:v>16773541</c:v>
                </c:pt>
                <c:pt idx="56">
                  <c:v>16983073</c:v>
                </c:pt>
                <c:pt idx="57">
                  <c:v>17297128</c:v>
                </c:pt>
                <c:pt idx="58">
                  <c:v>17479199</c:v>
                </c:pt>
                <c:pt idx="59">
                  <c:v>17797714</c:v>
                </c:pt>
                <c:pt idx="60">
                  <c:v>17898476</c:v>
                </c:pt>
                <c:pt idx="61">
                  <c:v>18093875</c:v>
                </c:pt>
                <c:pt idx="62">
                  <c:v>18312122</c:v>
                </c:pt>
                <c:pt idx="63">
                  <c:v>18345395</c:v>
                </c:pt>
                <c:pt idx="64">
                  <c:v>18669283</c:v>
                </c:pt>
                <c:pt idx="65">
                  <c:v>19097244</c:v>
                </c:pt>
                <c:pt idx="66">
                  <c:v>18706750</c:v>
                </c:pt>
                <c:pt idx="67">
                  <c:v>18875973</c:v>
                </c:pt>
                <c:pt idx="68">
                  <c:v>19066853</c:v>
                </c:pt>
                <c:pt idx="69">
                  <c:v>19188801</c:v>
                </c:pt>
                <c:pt idx="70">
                  <c:v>19479816</c:v>
                </c:pt>
                <c:pt idx="71">
                  <c:v>19689731</c:v>
                </c:pt>
                <c:pt idx="72">
                  <c:v>19886738</c:v>
                </c:pt>
                <c:pt idx="73">
                  <c:v>20020836</c:v>
                </c:pt>
                <c:pt idx="74">
                  <c:v>20289195</c:v>
                </c:pt>
                <c:pt idx="75">
                  <c:v>20261924</c:v>
                </c:pt>
                <c:pt idx="76">
                  <c:v>20366878</c:v>
                </c:pt>
                <c:pt idx="77">
                  <c:v>20432432</c:v>
                </c:pt>
                <c:pt idx="78">
                  <c:v>20528808</c:v>
                </c:pt>
                <c:pt idx="79">
                  <c:v>20584410</c:v>
                </c:pt>
                <c:pt idx="80">
                  <c:v>20719277</c:v>
                </c:pt>
                <c:pt idx="81">
                  <c:v>20989222</c:v>
                </c:pt>
                <c:pt idx="82">
                  <c:v>21478916</c:v>
                </c:pt>
                <c:pt idx="83">
                  <c:v>21628539</c:v>
                </c:pt>
                <c:pt idx="84">
                  <c:v>22382188</c:v>
                </c:pt>
              </c:numCache>
            </c:numRef>
          </c:val>
          <c:extLst>
            <c:ext xmlns:c16="http://schemas.microsoft.com/office/drawing/2014/chart" uri="{C3380CC4-5D6E-409C-BE32-E72D297353CC}">
              <c16:uniqueId val="{00000000-0D63-4D1A-B70C-FE9DDF99D30E}"/>
            </c:ext>
          </c:extLst>
        </c:ser>
        <c:dLbls>
          <c:showLegendKey val="0"/>
          <c:showVal val="0"/>
          <c:showCatName val="0"/>
          <c:showSerName val="0"/>
          <c:showPercent val="0"/>
          <c:showBubbleSize val="0"/>
        </c:dLbls>
        <c:gapWidth val="219"/>
        <c:overlap val="-27"/>
        <c:axId val="436863423"/>
        <c:axId val="436863903"/>
      </c:barChart>
      <c:lineChart>
        <c:grouping val="standard"/>
        <c:varyColors val="0"/>
        <c:ser>
          <c:idx val="1"/>
          <c:order val="1"/>
          <c:tx>
            <c:strRef>
              <c:f>Sheet1!$F$1</c:f>
              <c:strCache>
                <c:ptCount val="1"/>
                <c:pt idx="0">
                  <c:v>UPI_volume_core</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Sheet1!$A$2:$A$86</c:f>
              <c:numCache>
                <c:formatCode>m/d/yyyy</c:formatCode>
                <c:ptCount val="85"/>
                <c:pt idx="0">
                  <c:v>43466</c:v>
                </c:pt>
                <c:pt idx="1">
                  <c:v>43497</c:v>
                </c:pt>
                <c:pt idx="2">
                  <c:v>43525</c:v>
                </c:pt>
                <c:pt idx="3">
                  <c:v>43556</c:v>
                </c:pt>
                <c:pt idx="4">
                  <c:v>43586</c:v>
                </c:pt>
                <c:pt idx="5">
                  <c:v>43617</c:v>
                </c:pt>
                <c:pt idx="6">
                  <c:v>43647</c:v>
                </c:pt>
                <c:pt idx="7">
                  <c:v>43678</c:v>
                </c:pt>
                <c:pt idx="8">
                  <c:v>43709</c:v>
                </c:pt>
                <c:pt idx="9">
                  <c:v>43739</c:v>
                </c:pt>
                <c:pt idx="10">
                  <c:v>43770</c:v>
                </c:pt>
                <c:pt idx="11">
                  <c:v>43800</c:v>
                </c:pt>
                <c:pt idx="12">
                  <c:v>43831</c:v>
                </c:pt>
                <c:pt idx="13">
                  <c:v>43862</c:v>
                </c:pt>
                <c:pt idx="14">
                  <c:v>43891</c:v>
                </c:pt>
                <c:pt idx="15">
                  <c:v>43922</c:v>
                </c:pt>
                <c:pt idx="16">
                  <c:v>43952</c:v>
                </c:pt>
                <c:pt idx="17">
                  <c:v>43983</c:v>
                </c:pt>
                <c:pt idx="18">
                  <c:v>44013</c:v>
                </c:pt>
                <c:pt idx="19">
                  <c:v>44044</c:v>
                </c:pt>
                <c:pt idx="20">
                  <c:v>44075</c:v>
                </c:pt>
                <c:pt idx="21">
                  <c:v>44105</c:v>
                </c:pt>
                <c:pt idx="22">
                  <c:v>44136</c:v>
                </c:pt>
                <c:pt idx="23">
                  <c:v>44166</c:v>
                </c:pt>
                <c:pt idx="24">
                  <c:v>44197</c:v>
                </c:pt>
                <c:pt idx="25">
                  <c:v>44228</c:v>
                </c:pt>
                <c:pt idx="26">
                  <c:v>44256</c:v>
                </c:pt>
                <c:pt idx="27">
                  <c:v>44287</c:v>
                </c:pt>
                <c:pt idx="28">
                  <c:v>44317</c:v>
                </c:pt>
                <c:pt idx="29">
                  <c:v>44348</c:v>
                </c:pt>
                <c:pt idx="30">
                  <c:v>44378</c:v>
                </c:pt>
                <c:pt idx="31">
                  <c:v>44409</c:v>
                </c:pt>
                <c:pt idx="32">
                  <c:v>44440</c:v>
                </c:pt>
                <c:pt idx="33">
                  <c:v>44470</c:v>
                </c:pt>
                <c:pt idx="34">
                  <c:v>44501</c:v>
                </c:pt>
                <c:pt idx="35">
                  <c:v>44531</c:v>
                </c:pt>
                <c:pt idx="36">
                  <c:v>44562</c:v>
                </c:pt>
                <c:pt idx="37">
                  <c:v>44593</c:v>
                </c:pt>
                <c:pt idx="38">
                  <c:v>44621</c:v>
                </c:pt>
                <c:pt idx="39">
                  <c:v>44652</c:v>
                </c:pt>
                <c:pt idx="40">
                  <c:v>44682</c:v>
                </c:pt>
                <c:pt idx="41">
                  <c:v>44713</c:v>
                </c:pt>
                <c:pt idx="42">
                  <c:v>44743</c:v>
                </c:pt>
                <c:pt idx="43">
                  <c:v>44774</c:v>
                </c:pt>
                <c:pt idx="44">
                  <c:v>44805</c:v>
                </c:pt>
                <c:pt idx="45">
                  <c:v>44835</c:v>
                </c:pt>
                <c:pt idx="46">
                  <c:v>44866</c:v>
                </c:pt>
                <c:pt idx="47">
                  <c:v>44896</c:v>
                </c:pt>
                <c:pt idx="48">
                  <c:v>44927</c:v>
                </c:pt>
                <c:pt idx="49">
                  <c:v>44958</c:v>
                </c:pt>
                <c:pt idx="50">
                  <c:v>44986</c:v>
                </c:pt>
                <c:pt idx="51">
                  <c:v>45017</c:v>
                </c:pt>
                <c:pt idx="52">
                  <c:v>45047</c:v>
                </c:pt>
                <c:pt idx="53">
                  <c:v>45078</c:v>
                </c:pt>
                <c:pt idx="54">
                  <c:v>45108</c:v>
                </c:pt>
                <c:pt idx="55">
                  <c:v>45139</c:v>
                </c:pt>
                <c:pt idx="56">
                  <c:v>45170</c:v>
                </c:pt>
                <c:pt idx="57">
                  <c:v>45200</c:v>
                </c:pt>
                <c:pt idx="58">
                  <c:v>45231</c:v>
                </c:pt>
                <c:pt idx="59">
                  <c:v>45261</c:v>
                </c:pt>
                <c:pt idx="60">
                  <c:v>45292</c:v>
                </c:pt>
                <c:pt idx="61">
                  <c:v>45323</c:v>
                </c:pt>
                <c:pt idx="62">
                  <c:v>45352</c:v>
                </c:pt>
                <c:pt idx="63">
                  <c:v>45383</c:v>
                </c:pt>
                <c:pt idx="64">
                  <c:v>45413</c:v>
                </c:pt>
                <c:pt idx="65">
                  <c:v>45444</c:v>
                </c:pt>
                <c:pt idx="66">
                  <c:v>45474</c:v>
                </c:pt>
                <c:pt idx="67">
                  <c:v>45505</c:v>
                </c:pt>
                <c:pt idx="68">
                  <c:v>45536</c:v>
                </c:pt>
                <c:pt idx="69">
                  <c:v>45566</c:v>
                </c:pt>
                <c:pt idx="70">
                  <c:v>45597</c:v>
                </c:pt>
                <c:pt idx="71">
                  <c:v>45627</c:v>
                </c:pt>
                <c:pt idx="72">
                  <c:v>45658</c:v>
                </c:pt>
                <c:pt idx="73">
                  <c:v>45689</c:v>
                </c:pt>
                <c:pt idx="74">
                  <c:v>45717</c:v>
                </c:pt>
                <c:pt idx="75">
                  <c:v>45748</c:v>
                </c:pt>
                <c:pt idx="76">
                  <c:v>45778</c:v>
                </c:pt>
                <c:pt idx="77">
                  <c:v>45809</c:v>
                </c:pt>
                <c:pt idx="78">
                  <c:v>45839</c:v>
                </c:pt>
                <c:pt idx="79">
                  <c:v>45870</c:v>
                </c:pt>
                <c:pt idx="80">
                  <c:v>45901</c:v>
                </c:pt>
                <c:pt idx="81">
                  <c:v>45931</c:v>
                </c:pt>
                <c:pt idx="82">
                  <c:v>45962</c:v>
                </c:pt>
                <c:pt idx="83">
                  <c:v>45992</c:v>
                </c:pt>
                <c:pt idx="84">
                  <c:v>46023</c:v>
                </c:pt>
              </c:numCache>
            </c:numRef>
          </c:cat>
          <c:val>
            <c:numRef>
              <c:f>Sheet1!$F$2:$F$86</c:f>
              <c:numCache>
                <c:formatCode>General</c:formatCode>
                <c:ptCount val="85"/>
                <c:pt idx="10">
                  <c:v>124.68</c:v>
                </c:pt>
                <c:pt idx="11">
                  <c:v>132.56</c:v>
                </c:pt>
                <c:pt idx="12">
                  <c:v>130.5</c:v>
                </c:pt>
                <c:pt idx="13">
                  <c:v>130.84</c:v>
                </c:pt>
                <c:pt idx="14">
                  <c:v>121.88</c:v>
                </c:pt>
                <c:pt idx="15">
                  <c:v>99.96</c:v>
                </c:pt>
                <c:pt idx="16">
                  <c:v>124.45</c:v>
                </c:pt>
                <c:pt idx="17">
                  <c:v>133.69</c:v>
                </c:pt>
                <c:pt idx="18">
                  <c:v>149.74</c:v>
                </c:pt>
                <c:pt idx="19">
                  <c:v>161.88</c:v>
                </c:pt>
                <c:pt idx="20">
                  <c:v>180.02</c:v>
                </c:pt>
                <c:pt idx="21">
                  <c:v>207.16</c:v>
                </c:pt>
                <c:pt idx="22">
                  <c:v>221.02</c:v>
                </c:pt>
                <c:pt idx="23">
                  <c:v>223.42</c:v>
                </c:pt>
                <c:pt idx="24">
                  <c:v>229.29</c:v>
                </c:pt>
                <c:pt idx="25">
                  <c:v>230.27</c:v>
                </c:pt>
                <c:pt idx="26">
                  <c:v>273.17</c:v>
                </c:pt>
                <c:pt idx="27">
                  <c:v>264.11</c:v>
                </c:pt>
                <c:pt idx="28">
                  <c:v>252.92</c:v>
                </c:pt>
                <c:pt idx="29">
                  <c:v>280.75</c:v>
                </c:pt>
                <c:pt idx="30">
                  <c:v>324.55</c:v>
                </c:pt>
                <c:pt idx="31">
                  <c:v>355.55</c:v>
                </c:pt>
                <c:pt idx="32">
                  <c:v>365.58</c:v>
                </c:pt>
                <c:pt idx="33">
                  <c:v>421.84</c:v>
                </c:pt>
                <c:pt idx="34">
                  <c:v>418.65</c:v>
                </c:pt>
                <c:pt idx="35">
                  <c:v>456.63</c:v>
                </c:pt>
                <c:pt idx="36">
                  <c:v>461.72</c:v>
                </c:pt>
                <c:pt idx="37">
                  <c:v>452.75</c:v>
                </c:pt>
                <c:pt idx="38">
                  <c:v>540.57000000000005</c:v>
                </c:pt>
                <c:pt idx="39">
                  <c:v>558.44000000000005</c:v>
                </c:pt>
                <c:pt idx="40">
                  <c:v>594.63</c:v>
                </c:pt>
                <c:pt idx="41">
                  <c:v>586.29</c:v>
                </c:pt>
                <c:pt idx="42">
                  <c:v>628.92999999999995</c:v>
                </c:pt>
                <c:pt idx="43">
                  <c:v>658.19</c:v>
                </c:pt>
                <c:pt idx="44">
                  <c:v>678.08</c:v>
                </c:pt>
                <c:pt idx="45">
                  <c:v>730.54</c:v>
                </c:pt>
                <c:pt idx="46">
                  <c:v>730.94</c:v>
                </c:pt>
                <c:pt idx="47">
                  <c:v>782.89</c:v>
                </c:pt>
                <c:pt idx="48">
                  <c:v>803.86</c:v>
                </c:pt>
                <c:pt idx="49">
                  <c:v>753.48</c:v>
                </c:pt>
                <c:pt idx="50">
                  <c:v>865.16</c:v>
                </c:pt>
                <c:pt idx="51">
                  <c:v>886.33</c:v>
                </c:pt>
                <c:pt idx="52">
                  <c:v>941.52</c:v>
                </c:pt>
                <c:pt idx="53">
                  <c:v>933.51</c:v>
                </c:pt>
                <c:pt idx="54">
                  <c:v>996.43</c:v>
                </c:pt>
                <c:pt idx="55">
                  <c:v>1055.56</c:v>
                </c:pt>
                <c:pt idx="56">
                  <c:v>1058.5999999999999</c:v>
                </c:pt>
                <c:pt idx="57">
                  <c:v>1140.8800000000001</c:v>
                </c:pt>
                <c:pt idx="58">
                  <c:v>1123.53</c:v>
                </c:pt>
                <c:pt idx="59">
                  <c:v>1202.02</c:v>
                </c:pt>
                <c:pt idx="60">
                  <c:v>1220.3</c:v>
                </c:pt>
                <c:pt idx="61">
                  <c:v>1210.27</c:v>
                </c:pt>
                <c:pt idx="62">
                  <c:v>1344</c:v>
                </c:pt>
                <c:pt idx="63">
                  <c:v>1330.4</c:v>
                </c:pt>
                <c:pt idx="64">
                  <c:v>1403.58</c:v>
                </c:pt>
                <c:pt idx="65">
                  <c:v>1388.51</c:v>
                </c:pt>
                <c:pt idx="66">
                  <c:v>1443.55</c:v>
                </c:pt>
                <c:pt idx="67">
                  <c:v>1496.3</c:v>
                </c:pt>
                <c:pt idx="68">
                  <c:v>1504.17</c:v>
                </c:pt>
                <c:pt idx="69">
                  <c:v>1658.5</c:v>
                </c:pt>
                <c:pt idx="70">
                  <c:v>1548.2</c:v>
                </c:pt>
                <c:pt idx="71">
                  <c:v>1673</c:v>
                </c:pt>
                <c:pt idx="72">
                  <c:v>1699.6</c:v>
                </c:pt>
                <c:pt idx="73">
                  <c:v>1610.62</c:v>
                </c:pt>
                <c:pt idx="74">
                  <c:v>1830.15</c:v>
                </c:pt>
                <c:pt idx="75">
                  <c:v>1789.34</c:v>
                </c:pt>
                <c:pt idx="76">
                  <c:v>1867.75</c:v>
                </c:pt>
                <c:pt idx="77">
                  <c:v>1839.5</c:v>
                </c:pt>
                <c:pt idx="78">
                  <c:v>1946.79</c:v>
                </c:pt>
                <c:pt idx="79">
                  <c:v>2000.83</c:v>
                </c:pt>
                <c:pt idx="80">
                  <c:v>1963.34</c:v>
                </c:pt>
                <c:pt idx="81">
                  <c:v>2070.09</c:v>
                </c:pt>
                <c:pt idx="82">
                  <c:v>2046.7</c:v>
                </c:pt>
                <c:pt idx="83">
                  <c:v>2163.4699999999998</c:v>
                </c:pt>
                <c:pt idx="84">
                  <c:v>2170.34</c:v>
                </c:pt>
              </c:numCache>
            </c:numRef>
          </c:val>
          <c:smooth val="0"/>
          <c:extLst>
            <c:ext xmlns:c16="http://schemas.microsoft.com/office/drawing/2014/chart" uri="{C3380CC4-5D6E-409C-BE32-E72D297353CC}">
              <c16:uniqueId val="{00000001-0D63-4D1A-B70C-FE9DDF99D30E}"/>
            </c:ext>
          </c:extLst>
        </c:ser>
        <c:dLbls>
          <c:showLegendKey val="0"/>
          <c:showVal val="0"/>
          <c:showCatName val="0"/>
          <c:showSerName val="0"/>
          <c:showPercent val="0"/>
          <c:showBubbleSize val="0"/>
        </c:dLbls>
        <c:marker val="1"/>
        <c:smooth val="0"/>
        <c:axId val="436879743"/>
        <c:axId val="436880223"/>
      </c:lineChart>
      <c:dateAx>
        <c:axId val="436863423"/>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 date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m/d/yyyy" sourceLinked="1"/>
        <c:majorTickMark val="out"/>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36863903"/>
        <c:crosses val="autoZero"/>
        <c:auto val="1"/>
        <c:lblOffset val="100"/>
        <c:baseTimeUnit val="months"/>
      </c:dateAx>
      <c:valAx>
        <c:axId val="436863903"/>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bank_credit(crore)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36863423"/>
        <c:crosses val="autoZero"/>
        <c:crossBetween val="between"/>
      </c:valAx>
      <c:valAx>
        <c:axId val="436880223"/>
        <c:scaling>
          <c:orientation val="minMax"/>
        </c:scaling>
        <c:delete val="0"/>
        <c:axPos val="r"/>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UPI</a:t>
                </a:r>
                <a:r>
                  <a:rPr lang="en-IN" baseline="0"/>
                  <a:t> Volume(crore)</a:t>
                </a:r>
                <a:endParaRPr lang="en-IN"/>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36879743"/>
        <c:crosses val="max"/>
        <c:crossBetween val="between"/>
      </c:valAx>
      <c:dateAx>
        <c:axId val="436879743"/>
        <c:scaling>
          <c:orientation val="minMax"/>
        </c:scaling>
        <c:delete val="1"/>
        <c:axPos val="b"/>
        <c:numFmt formatCode="m/d/yyyy" sourceLinked="1"/>
        <c:majorTickMark val="out"/>
        <c:minorTickMark val="none"/>
        <c:tickLblPos val="nextTo"/>
        <c:crossAx val="436880223"/>
        <c:crosses val="autoZero"/>
        <c:auto val="1"/>
        <c:lblOffset val="100"/>
        <c:baseTimeUnit val="month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sz="1400" b="1" i="0" u="none" strike="noStrike" cap="none" baseline="0"/>
              <a:t>Year-on-Year Growth of Bank Credit (%)</a:t>
            </a:r>
            <a:endParaRPr lang="en-US"/>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lineChart>
        <c:grouping val="standard"/>
        <c:varyColors val="0"/>
        <c:ser>
          <c:idx val="0"/>
          <c:order val="0"/>
          <c:tx>
            <c:strRef>
              <c:f>Sheet1!$C$1</c:f>
              <c:strCache>
                <c:ptCount val="1"/>
                <c:pt idx="0">
                  <c:v>bank_credit_growth_YoY</c:v>
                </c:pt>
              </c:strCache>
            </c:strRef>
          </c:tx>
          <c:spPr>
            <a:ln w="22225" cap="rnd">
              <a:solidFill>
                <a:schemeClr val="accent1"/>
              </a:solidFill>
            </a:ln>
            <a:effectLst>
              <a:glow rad="139700">
                <a:schemeClr val="accent1">
                  <a:satMod val="175000"/>
                  <a:alpha val="14000"/>
                </a:schemeClr>
              </a:glow>
            </a:effectLst>
          </c:spPr>
          <c:marker>
            <c:symbol val="none"/>
          </c:marker>
          <c:cat>
            <c:numRef>
              <c:f>Sheet1!$A$2:$A$86</c:f>
              <c:numCache>
                <c:formatCode>m/d/yyyy</c:formatCode>
                <c:ptCount val="85"/>
                <c:pt idx="0">
                  <c:v>43466</c:v>
                </c:pt>
                <c:pt idx="1">
                  <c:v>43497</c:v>
                </c:pt>
                <c:pt idx="2">
                  <c:v>43525</c:v>
                </c:pt>
                <c:pt idx="3">
                  <c:v>43556</c:v>
                </c:pt>
                <c:pt idx="4">
                  <c:v>43586</c:v>
                </c:pt>
                <c:pt idx="5">
                  <c:v>43617</c:v>
                </c:pt>
                <c:pt idx="6">
                  <c:v>43647</c:v>
                </c:pt>
                <c:pt idx="7">
                  <c:v>43678</c:v>
                </c:pt>
                <c:pt idx="8">
                  <c:v>43709</c:v>
                </c:pt>
                <c:pt idx="9">
                  <c:v>43739</c:v>
                </c:pt>
                <c:pt idx="10">
                  <c:v>43770</c:v>
                </c:pt>
                <c:pt idx="11">
                  <c:v>43800</c:v>
                </c:pt>
                <c:pt idx="12">
                  <c:v>43831</c:v>
                </c:pt>
                <c:pt idx="13">
                  <c:v>43862</c:v>
                </c:pt>
                <c:pt idx="14">
                  <c:v>43891</c:v>
                </c:pt>
                <c:pt idx="15">
                  <c:v>43922</c:v>
                </c:pt>
                <c:pt idx="16">
                  <c:v>43952</c:v>
                </c:pt>
                <c:pt idx="17">
                  <c:v>43983</c:v>
                </c:pt>
                <c:pt idx="18">
                  <c:v>44013</c:v>
                </c:pt>
                <c:pt idx="19">
                  <c:v>44044</c:v>
                </c:pt>
                <c:pt idx="20">
                  <c:v>44075</c:v>
                </c:pt>
                <c:pt idx="21">
                  <c:v>44105</c:v>
                </c:pt>
                <c:pt idx="22">
                  <c:v>44136</c:v>
                </c:pt>
                <c:pt idx="23">
                  <c:v>44166</c:v>
                </c:pt>
                <c:pt idx="24">
                  <c:v>44197</c:v>
                </c:pt>
                <c:pt idx="25">
                  <c:v>44228</c:v>
                </c:pt>
                <c:pt idx="26">
                  <c:v>44256</c:v>
                </c:pt>
                <c:pt idx="27">
                  <c:v>44287</c:v>
                </c:pt>
                <c:pt idx="28">
                  <c:v>44317</c:v>
                </c:pt>
                <c:pt idx="29">
                  <c:v>44348</c:v>
                </c:pt>
                <c:pt idx="30">
                  <c:v>44378</c:v>
                </c:pt>
                <c:pt idx="31">
                  <c:v>44409</c:v>
                </c:pt>
                <c:pt idx="32">
                  <c:v>44440</c:v>
                </c:pt>
                <c:pt idx="33">
                  <c:v>44470</c:v>
                </c:pt>
                <c:pt idx="34">
                  <c:v>44501</c:v>
                </c:pt>
                <c:pt idx="35">
                  <c:v>44531</c:v>
                </c:pt>
                <c:pt idx="36">
                  <c:v>44562</c:v>
                </c:pt>
                <c:pt idx="37">
                  <c:v>44593</c:v>
                </c:pt>
                <c:pt idx="38">
                  <c:v>44621</c:v>
                </c:pt>
                <c:pt idx="39">
                  <c:v>44652</c:v>
                </c:pt>
                <c:pt idx="40">
                  <c:v>44682</c:v>
                </c:pt>
                <c:pt idx="41">
                  <c:v>44713</c:v>
                </c:pt>
                <c:pt idx="42">
                  <c:v>44743</c:v>
                </c:pt>
                <c:pt idx="43">
                  <c:v>44774</c:v>
                </c:pt>
                <c:pt idx="44">
                  <c:v>44805</c:v>
                </c:pt>
                <c:pt idx="45">
                  <c:v>44835</c:v>
                </c:pt>
                <c:pt idx="46">
                  <c:v>44866</c:v>
                </c:pt>
                <c:pt idx="47">
                  <c:v>44896</c:v>
                </c:pt>
                <c:pt idx="48">
                  <c:v>44927</c:v>
                </c:pt>
                <c:pt idx="49">
                  <c:v>44958</c:v>
                </c:pt>
                <c:pt idx="50">
                  <c:v>44986</c:v>
                </c:pt>
                <c:pt idx="51">
                  <c:v>45017</c:v>
                </c:pt>
                <c:pt idx="52">
                  <c:v>45047</c:v>
                </c:pt>
                <c:pt idx="53">
                  <c:v>45078</c:v>
                </c:pt>
                <c:pt idx="54">
                  <c:v>45108</c:v>
                </c:pt>
                <c:pt idx="55">
                  <c:v>45139</c:v>
                </c:pt>
                <c:pt idx="56">
                  <c:v>45170</c:v>
                </c:pt>
                <c:pt idx="57">
                  <c:v>45200</c:v>
                </c:pt>
                <c:pt idx="58">
                  <c:v>45231</c:v>
                </c:pt>
                <c:pt idx="59">
                  <c:v>45261</c:v>
                </c:pt>
                <c:pt idx="60">
                  <c:v>45292</c:v>
                </c:pt>
                <c:pt idx="61">
                  <c:v>45323</c:v>
                </c:pt>
                <c:pt idx="62">
                  <c:v>45352</c:v>
                </c:pt>
                <c:pt idx="63">
                  <c:v>45383</c:v>
                </c:pt>
                <c:pt idx="64">
                  <c:v>45413</c:v>
                </c:pt>
                <c:pt idx="65">
                  <c:v>45444</c:v>
                </c:pt>
                <c:pt idx="66">
                  <c:v>45474</c:v>
                </c:pt>
                <c:pt idx="67">
                  <c:v>45505</c:v>
                </c:pt>
                <c:pt idx="68">
                  <c:v>45536</c:v>
                </c:pt>
                <c:pt idx="69">
                  <c:v>45566</c:v>
                </c:pt>
                <c:pt idx="70">
                  <c:v>45597</c:v>
                </c:pt>
                <c:pt idx="71">
                  <c:v>45627</c:v>
                </c:pt>
                <c:pt idx="72">
                  <c:v>45658</c:v>
                </c:pt>
                <c:pt idx="73">
                  <c:v>45689</c:v>
                </c:pt>
                <c:pt idx="74">
                  <c:v>45717</c:v>
                </c:pt>
                <c:pt idx="75">
                  <c:v>45748</c:v>
                </c:pt>
                <c:pt idx="76">
                  <c:v>45778</c:v>
                </c:pt>
                <c:pt idx="77">
                  <c:v>45809</c:v>
                </c:pt>
                <c:pt idx="78">
                  <c:v>45839</c:v>
                </c:pt>
                <c:pt idx="79">
                  <c:v>45870</c:v>
                </c:pt>
                <c:pt idx="80">
                  <c:v>45901</c:v>
                </c:pt>
                <c:pt idx="81">
                  <c:v>45931</c:v>
                </c:pt>
                <c:pt idx="82">
                  <c:v>45962</c:v>
                </c:pt>
                <c:pt idx="83">
                  <c:v>45992</c:v>
                </c:pt>
                <c:pt idx="84">
                  <c:v>46023</c:v>
                </c:pt>
              </c:numCache>
            </c:numRef>
          </c:cat>
          <c:val>
            <c:numRef>
              <c:f>Sheet1!$C$2:$C$86</c:f>
              <c:numCache>
                <c:formatCode>General</c:formatCode>
                <c:ptCount val="85"/>
                <c:pt idx="14">
                  <c:v>9.1354740547537006</c:v>
                </c:pt>
                <c:pt idx="15">
                  <c:v>8.6826263255913148</c:v>
                </c:pt>
                <c:pt idx="16">
                  <c:v>8.4478028144412853</c:v>
                </c:pt>
                <c:pt idx="17">
                  <c:v>8.2214247648998207</c:v>
                </c:pt>
                <c:pt idx="18">
                  <c:v>8.0072653533437297</c:v>
                </c:pt>
                <c:pt idx="19">
                  <c:v>7.7319825332113679</c:v>
                </c:pt>
                <c:pt idx="20">
                  <c:v>7.1823560142835419</c:v>
                </c:pt>
                <c:pt idx="21">
                  <c:v>7.7133167605677011</c:v>
                </c:pt>
                <c:pt idx="22">
                  <c:v>9.1244380818394699</c:v>
                </c:pt>
                <c:pt idx="23">
                  <c:v>8.6254131053687075</c:v>
                </c:pt>
                <c:pt idx="24">
                  <c:v>8.0978713858328213</c:v>
                </c:pt>
                <c:pt idx="25">
                  <c:v>7.8666466826941228</c:v>
                </c:pt>
                <c:pt idx="26">
                  <c:v>9.1680545393042934</c:v>
                </c:pt>
                <c:pt idx="27">
                  <c:v>9.5106242868415514</c:v>
                </c:pt>
                <c:pt idx="28">
                  <c:v>10.20902765005356</c:v>
                </c:pt>
                <c:pt idx="29">
                  <c:v>10.610410143070382</c:v>
                </c:pt>
                <c:pt idx="30">
                  <c:v>10.655637953806597</c:v>
                </c:pt>
                <c:pt idx="31">
                  <c:v>9.9341538446144249</c:v>
                </c:pt>
                <c:pt idx="32">
                  <c:v>10.793038576615221</c:v>
                </c:pt>
                <c:pt idx="33">
                  <c:v>12.30150549245559</c:v>
                </c:pt>
                <c:pt idx="34">
                  <c:v>11.814159948596581</c:v>
                </c:pt>
                <c:pt idx="35">
                  <c:v>13.091174887892375</c:v>
                </c:pt>
                <c:pt idx="36">
                  <c:v>14.028960544185809</c:v>
                </c:pt>
                <c:pt idx="37">
                  <c:v>14.394616844815843</c:v>
                </c:pt>
                <c:pt idx="38">
                  <c:v>14.235706805069203</c:v>
                </c:pt>
                <c:pt idx="39">
                  <c:v>13.818430800799186</c:v>
                </c:pt>
                <c:pt idx="40">
                  <c:v>14.430200418810045</c:v>
                </c:pt>
                <c:pt idx="41">
                  <c:v>15.796837135356823</c:v>
                </c:pt>
                <c:pt idx="42">
                  <c:v>17.61912663523233</c:v>
                </c:pt>
                <c:pt idx="43">
                  <c:v>18.935491518575741</c:v>
                </c:pt>
                <c:pt idx="44">
                  <c:v>19.019755075361623</c:v>
                </c:pt>
                <c:pt idx="45">
                  <c:v>18.066452028984003</c:v>
                </c:pt>
                <c:pt idx="46">
                  <c:v>18.389942547640636</c:v>
                </c:pt>
                <c:pt idx="47">
                  <c:v>18.956307010828045</c:v>
                </c:pt>
                <c:pt idx="48">
                  <c:v>18.566395871655384</c:v>
                </c:pt>
                <c:pt idx="49">
                  <c:v>18.970434170098383</c:v>
                </c:pt>
                <c:pt idx="50">
                  <c:v>18.57500065026634</c:v>
                </c:pt>
                <c:pt idx="51">
                  <c:v>19.186395513752629</c:v>
                </c:pt>
                <c:pt idx="52">
                  <c:v>17.489303667524993</c:v>
                </c:pt>
                <c:pt idx="53">
                  <c:v>18.456610761109538</c:v>
                </c:pt>
                <c:pt idx="54">
                  <c:v>19.214518036157013</c:v>
                </c:pt>
                <c:pt idx="55">
                  <c:v>18.858669037007971</c:v>
                </c:pt>
                <c:pt idx="56">
                  <c:v>19.20849632917605</c:v>
                </c:pt>
                <c:pt idx="57">
                  <c:v>19.584468306928194</c:v>
                </c:pt>
                <c:pt idx="58">
                  <c:v>18.74343713738029</c:v>
                </c:pt>
                <c:pt idx="59">
                  <c:v>18.651482037358292</c:v>
                </c:pt>
                <c:pt idx="60">
                  <c:v>18.418652194983977</c:v>
                </c:pt>
                <c:pt idx="61">
                  <c:v>18.190857409590457</c:v>
                </c:pt>
                <c:pt idx="62">
                  <c:v>17.799220054964881</c:v>
                </c:pt>
                <c:pt idx="63">
                  <c:v>16.839647612331788</c:v>
                </c:pt>
                <c:pt idx="64">
                  <c:v>18.53878792704333</c:v>
                </c:pt>
                <c:pt idx="65">
                  <c:v>17.835691374515395</c:v>
                </c:pt>
                <c:pt idx="66">
                  <c:v>12.25861629549776</c:v>
                </c:pt>
                <c:pt idx="67">
                  <c:v>12.534216835908406</c:v>
                </c:pt>
                <c:pt idx="68">
                  <c:v>12.269746470500365</c:v>
                </c:pt>
                <c:pt idx="69">
                  <c:v>10.93634157069312</c:v>
                </c:pt>
                <c:pt idx="70">
                  <c:v>11.445701831073606</c:v>
                </c:pt>
                <c:pt idx="71">
                  <c:v>10.63067425400812</c:v>
                </c:pt>
                <c:pt idx="72">
                  <c:v>11.108554717172559</c:v>
                </c:pt>
                <c:pt idx="73">
                  <c:v>10.649797238015623</c:v>
                </c:pt>
                <c:pt idx="74">
                  <c:v>10.796525929654678</c:v>
                </c:pt>
                <c:pt idx="75">
                  <c:v>10.446921420879729</c:v>
                </c:pt>
                <c:pt idx="76">
                  <c:v>9.0929844493760079</c:v>
                </c:pt>
                <c:pt idx="77">
                  <c:v>6.9915219180317401</c:v>
                </c:pt>
                <c:pt idx="78">
                  <c:v>9.7401098533951735</c:v>
                </c:pt>
                <c:pt idx="79">
                  <c:v>9.0508552857116342</c:v>
                </c:pt>
                <c:pt idx="80">
                  <c:v>8.6664747454653366</c:v>
                </c:pt>
                <c:pt idx="81">
                  <c:v>9.3826654411601762</c:v>
                </c:pt>
                <c:pt idx="82">
                  <c:v>10.262417263078859</c:v>
                </c:pt>
                <c:pt idx="83">
                  <c:v>9.846797805414397</c:v>
                </c:pt>
                <c:pt idx="84">
                  <c:v>12.54831234765601</c:v>
                </c:pt>
              </c:numCache>
            </c:numRef>
          </c:val>
          <c:smooth val="0"/>
          <c:extLst>
            <c:ext xmlns:c16="http://schemas.microsoft.com/office/drawing/2014/chart" uri="{C3380CC4-5D6E-409C-BE32-E72D297353CC}">
              <c16:uniqueId val="{00000000-617D-429C-BD4A-87C6C73DE910}"/>
            </c:ext>
          </c:extLst>
        </c:ser>
        <c:dLbls>
          <c:showLegendKey val="0"/>
          <c:showVal val="0"/>
          <c:showCatName val="0"/>
          <c:showSerName val="0"/>
          <c:showPercent val="0"/>
          <c:showBubbleSize val="0"/>
        </c:dLbls>
        <c:smooth val="0"/>
        <c:axId val="22151999"/>
        <c:axId val="22150079"/>
      </c:lineChart>
      <c:dateAx>
        <c:axId val="2215199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Date</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m/d/yyyy"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2150079"/>
        <c:crosses val="autoZero"/>
        <c:auto val="1"/>
        <c:lblOffset val="100"/>
        <c:baseTimeUnit val="months"/>
      </c:dateAx>
      <c:valAx>
        <c:axId val="22150079"/>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sz="900" b="0" i="0" u="none" strike="noStrike" baseline="0">
                    <a:effectLst/>
                  </a:rPr>
                  <a:t>bank_credit_growth_YoY</a:t>
                </a:r>
                <a:r>
                  <a:rPr lang="en-IN" sz="900" b="1" i="0" u="none" strike="noStrike" baseline="0">
                    <a:effectLst/>
                  </a:rPr>
                  <a:t> </a:t>
                </a:r>
                <a:endParaRPr lang="en-IN"/>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215199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sz="1400" b="1" i="0" u="none" strike="noStrike" cap="none" baseline="0"/>
              <a:t>Rolling 12-Month Volatility of Bank Credit Growth</a:t>
            </a:r>
            <a:endParaRPr lang="en-US"/>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lineChart>
        <c:grouping val="standard"/>
        <c:varyColors val="0"/>
        <c:ser>
          <c:idx val="0"/>
          <c:order val="0"/>
          <c:tx>
            <c:strRef>
              <c:f>Sheet1!$K$1:$K$26</c:f>
              <c:strCache>
                <c:ptCount val="26"/>
                <c:pt idx="0">
                  <c:v>volatality_12m(S.D)</c:v>
                </c:pt>
              </c:strCache>
            </c:strRef>
          </c:tx>
          <c:spPr>
            <a:ln w="22225" cap="rnd">
              <a:solidFill>
                <a:schemeClr val="accent1"/>
              </a:solidFill>
            </a:ln>
            <a:effectLst>
              <a:glow rad="139700">
                <a:schemeClr val="accent1">
                  <a:satMod val="175000"/>
                  <a:alpha val="14000"/>
                </a:schemeClr>
              </a:glow>
            </a:effectLst>
          </c:spPr>
          <c:marker>
            <c:symbol val="none"/>
          </c:marker>
          <c:cat>
            <c:numRef>
              <c:f>Sheet1!$A$27:$A$86</c:f>
              <c:numCache>
                <c:formatCode>m/d/yyyy</c:formatCode>
                <c:ptCount val="60"/>
                <c:pt idx="0">
                  <c:v>44228</c:v>
                </c:pt>
                <c:pt idx="1">
                  <c:v>44256</c:v>
                </c:pt>
                <c:pt idx="2">
                  <c:v>44287</c:v>
                </c:pt>
                <c:pt idx="3">
                  <c:v>44317</c:v>
                </c:pt>
                <c:pt idx="4">
                  <c:v>44348</c:v>
                </c:pt>
                <c:pt idx="5">
                  <c:v>44378</c:v>
                </c:pt>
                <c:pt idx="6">
                  <c:v>44409</c:v>
                </c:pt>
                <c:pt idx="7">
                  <c:v>44440</c:v>
                </c:pt>
                <c:pt idx="8">
                  <c:v>44470</c:v>
                </c:pt>
                <c:pt idx="9">
                  <c:v>44501</c:v>
                </c:pt>
                <c:pt idx="10">
                  <c:v>44531</c:v>
                </c:pt>
                <c:pt idx="11">
                  <c:v>44562</c:v>
                </c:pt>
                <c:pt idx="12">
                  <c:v>44593</c:v>
                </c:pt>
                <c:pt idx="13">
                  <c:v>44621</c:v>
                </c:pt>
                <c:pt idx="14">
                  <c:v>44652</c:v>
                </c:pt>
                <c:pt idx="15">
                  <c:v>44682</c:v>
                </c:pt>
                <c:pt idx="16">
                  <c:v>44713</c:v>
                </c:pt>
                <c:pt idx="17">
                  <c:v>44743</c:v>
                </c:pt>
                <c:pt idx="18">
                  <c:v>44774</c:v>
                </c:pt>
                <c:pt idx="19">
                  <c:v>44805</c:v>
                </c:pt>
                <c:pt idx="20">
                  <c:v>44835</c:v>
                </c:pt>
                <c:pt idx="21">
                  <c:v>44866</c:v>
                </c:pt>
                <c:pt idx="22">
                  <c:v>44896</c:v>
                </c:pt>
                <c:pt idx="23">
                  <c:v>44927</c:v>
                </c:pt>
                <c:pt idx="24">
                  <c:v>44958</c:v>
                </c:pt>
                <c:pt idx="25">
                  <c:v>44986</c:v>
                </c:pt>
                <c:pt idx="26">
                  <c:v>45017</c:v>
                </c:pt>
                <c:pt idx="27">
                  <c:v>45047</c:v>
                </c:pt>
                <c:pt idx="28">
                  <c:v>45078</c:v>
                </c:pt>
                <c:pt idx="29">
                  <c:v>45108</c:v>
                </c:pt>
                <c:pt idx="30">
                  <c:v>45139</c:v>
                </c:pt>
                <c:pt idx="31">
                  <c:v>45170</c:v>
                </c:pt>
                <c:pt idx="32">
                  <c:v>45200</c:v>
                </c:pt>
                <c:pt idx="33">
                  <c:v>45231</c:v>
                </c:pt>
                <c:pt idx="34">
                  <c:v>45261</c:v>
                </c:pt>
                <c:pt idx="35">
                  <c:v>45292</c:v>
                </c:pt>
                <c:pt idx="36">
                  <c:v>45323</c:v>
                </c:pt>
                <c:pt idx="37">
                  <c:v>45352</c:v>
                </c:pt>
                <c:pt idx="38">
                  <c:v>45383</c:v>
                </c:pt>
                <c:pt idx="39">
                  <c:v>45413</c:v>
                </c:pt>
                <c:pt idx="40">
                  <c:v>45444</c:v>
                </c:pt>
                <c:pt idx="41">
                  <c:v>45474</c:v>
                </c:pt>
                <c:pt idx="42">
                  <c:v>45505</c:v>
                </c:pt>
                <c:pt idx="43">
                  <c:v>45536</c:v>
                </c:pt>
                <c:pt idx="44">
                  <c:v>45566</c:v>
                </c:pt>
                <c:pt idx="45">
                  <c:v>45597</c:v>
                </c:pt>
                <c:pt idx="46">
                  <c:v>45627</c:v>
                </c:pt>
                <c:pt idx="47">
                  <c:v>45658</c:v>
                </c:pt>
                <c:pt idx="48">
                  <c:v>45689</c:v>
                </c:pt>
                <c:pt idx="49">
                  <c:v>45717</c:v>
                </c:pt>
                <c:pt idx="50">
                  <c:v>45748</c:v>
                </c:pt>
                <c:pt idx="51">
                  <c:v>45778</c:v>
                </c:pt>
                <c:pt idx="52">
                  <c:v>45809</c:v>
                </c:pt>
                <c:pt idx="53">
                  <c:v>45839</c:v>
                </c:pt>
                <c:pt idx="54">
                  <c:v>45870</c:v>
                </c:pt>
                <c:pt idx="55">
                  <c:v>45901</c:v>
                </c:pt>
                <c:pt idx="56">
                  <c:v>45931</c:v>
                </c:pt>
                <c:pt idx="57">
                  <c:v>45962</c:v>
                </c:pt>
                <c:pt idx="58">
                  <c:v>45992</c:v>
                </c:pt>
                <c:pt idx="59">
                  <c:v>46023</c:v>
                </c:pt>
              </c:numCache>
            </c:numRef>
          </c:cat>
          <c:val>
            <c:numRef>
              <c:f>Sheet1!$K$27:$K$86</c:f>
              <c:numCache>
                <c:formatCode>General</c:formatCode>
                <c:ptCount val="60"/>
                <c:pt idx="0">
                  <c:v>0.59082242250528938</c:v>
                </c:pt>
                <c:pt idx="1">
                  <c:v>0.59538689030156511</c:v>
                </c:pt>
                <c:pt idx="2">
                  <c:v>0.69165598113147697</c:v>
                </c:pt>
                <c:pt idx="3">
                  <c:v>0.88409097377122658</c:v>
                </c:pt>
                <c:pt idx="4">
                  <c:v>1.0750917601525471</c:v>
                </c:pt>
                <c:pt idx="5">
                  <c:v>1.1953738928724487</c:v>
                </c:pt>
                <c:pt idx="6">
                  <c:v>1.1728304311326683</c:v>
                </c:pt>
                <c:pt idx="7">
                  <c:v>1.1092818780442055</c:v>
                </c:pt>
                <c:pt idx="8">
                  <c:v>1.2696048299946912</c:v>
                </c:pt>
                <c:pt idx="9">
                  <c:v>1.3831340917573447</c:v>
                </c:pt>
                <c:pt idx="10">
                  <c:v>1.5769748387764837</c:v>
                </c:pt>
                <c:pt idx="11">
                  <c:v>1.73290420670134</c:v>
                </c:pt>
                <c:pt idx="12">
                  <c:v>1.7420182798886439</c:v>
                </c:pt>
                <c:pt idx="13">
                  <c:v>1.77211351373935</c:v>
                </c:pt>
                <c:pt idx="14">
                  <c:v>1.7014887373323493</c:v>
                </c:pt>
                <c:pt idx="15">
                  <c:v>1.6984405232358482</c:v>
                </c:pt>
                <c:pt idx="16">
                  <c:v>1.8264558259225088</c:v>
                </c:pt>
                <c:pt idx="17">
                  <c:v>2.1173241816115866</c:v>
                </c:pt>
                <c:pt idx="18">
                  <c:v>2.3160321824772292</c:v>
                </c:pt>
                <c:pt idx="19">
                  <c:v>2.408482536875646</c:v>
                </c:pt>
                <c:pt idx="20">
                  <c:v>2.4055668482970445</c:v>
                </c:pt>
                <c:pt idx="21">
                  <c:v>2.2490035043831282</c:v>
                </c:pt>
                <c:pt idx="22">
                  <c:v>2.1995750274317403</c:v>
                </c:pt>
                <c:pt idx="23">
                  <c:v>2.1298900563659964</c:v>
                </c:pt>
                <c:pt idx="24">
                  <c:v>2.0582632572883743</c:v>
                </c:pt>
                <c:pt idx="25">
                  <c:v>1.8547833455287535</c:v>
                </c:pt>
                <c:pt idx="26">
                  <c:v>1.4680640227757469</c:v>
                </c:pt>
                <c:pt idx="27">
                  <c:v>0.96217625460901368</c:v>
                </c:pt>
                <c:pt idx="28">
                  <c:v>0.55312697315942627</c:v>
                </c:pt>
                <c:pt idx="29">
                  <c:v>0.50690290189726195</c:v>
                </c:pt>
                <c:pt idx="30">
                  <c:v>0.50347359693257321</c:v>
                </c:pt>
                <c:pt idx="31">
                  <c:v>0.51892832282935253</c:v>
                </c:pt>
                <c:pt idx="32">
                  <c:v>0.54504186258506371</c:v>
                </c:pt>
                <c:pt idx="33">
                  <c:v>0.5309398130894023</c:v>
                </c:pt>
                <c:pt idx="34">
                  <c:v>0.53098717492281144</c:v>
                </c:pt>
                <c:pt idx="35">
                  <c:v>0.53835805559290784</c:v>
                </c:pt>
                <c:pt idx="36">
                  <c:v>0.5598679372839297</c:v>
                </c:pt>
                <c:pt idx="37">
                  <c:v>0.61913433933688089</c:v>
                </c:pt>
                <c:pt idx="38">
                  <c:v>0.78324187828964542</c:v>
                </c:pt>
                <c:pt idx="39">
                  <c:v>0.72184256849762618</c:v>
                </c:pt>
                <c:pt idx="40">
                  <c:v>0.75022199216988328</c:v>
                </c:pt>
                <c:pt idx="41">
                  <c:v>1.9180692387280747</c:v>
                </c:pt>
                <c:pt idx="42">
                  <c:v>2.4335382472481517</c:v>
                </c:pt>
                <c:pt idx="43">
                  <c:v>2.7626187873512795</c:v>
                </c:pt>
                <c:pt idx="44">
                  <c:v>3.0813639319571111</c:v>
                </c:pt>
                <c:pt idx="45">
                  <c:v>3.2256999817737335</c:v>
                </c:pt>
                <c:pt idx="46">
                  <c:v>3.3370949898241973</c:v>
                </c:pt>
                <c:pt idx="47">
                  <c:v>3.2849078558314542</c:v>
                </c:pt>
                <c:pt idx="48">
                  <c:v>3.1711746550264737</c:v>
                </c:pt>
                <c:pt idx="49">
                  <c:v>2.9595358978013429</c:v>
                </c:pt>
                <c:pt idx="50">
                  <c:v>2.7724493340974021</c:v>
                </c:pt>
                <c:pt idx="51">
                  <c:v>2.1615098335810443</c:v>
                </c:pt>
                <c:pt idx="52">
                  <c:v>1.5196964449552361</c:v>
                </c:pt>
                <c:pt idx="53">
                  <c:v>1.4674487826346883</c:v>
                </c:pt>
                <c:pt idx="54">
                  <c:v>1.382081865636368</c:v>
                </c:pt>
                <c:pt idx="55">
                  <c:v>1.2952287857123783</c:v>
                </c:pt>
                <c:pt idx="56">
                  <c:v>1.2664247775335249</c:v>
                </c:pt>
                <c:pt idx="57">
                  <c:v>1.1720378208973674</c:v>
                </c:pt>
                <c:pt idx="58">
                  <c:v>1.1389546796339807</c:v>
                </c:pt>
                <c:pt idx="59">
                  <c:v>1.3589081650745634</c:v>
                </c:pt>
              </c:numCache>
            </c:numRef>
          </c:val>
          <c:smooth val="0"/>
          <c:extLst>
            <c:ext xmlns:c16="http://schemas.microsoft.com/office/drawing/2014/chart" uri="{C3380CC4-5D6E-409C-BE32-E72D297353CC}">
              <c16:uniqueId val="{00000000-D103-4506-8B97-5C8596DF86BA}"/>
            </c:ext>
          </c:extLst>
        </c:ser>
        <c:dLbls>
          <c:showLegendKey val="0"/>
          <c:showVal val="0"/>
          <c:showCatName val="0"/>
          <c:showSerName val="0"/>
          <c:showPercent val="0"/>
          <c:showBubbleSize val="0"/>
        </c:dLbls>
        <c:upDownBars>
          <c:gapWidth val="315"/>
          <c:upBars>
            <c:spPr>
              <a:solidFill>
                <a:schemeClr val="lt1">
                  <a:lumMod val="85000"/>
                </a:schemeClr>
              </a:solidFill>
              <a:ln w="9525">
                <a:solidFill>
                  <a:schemeClr val="dk1">
                    <a:lumMod val="50000"/>
                  </a:schemeClr>
                </a:solidFill>
                <a:round/>
              </a:ln>
              <a:effectLst/>
            </c:spPr>
          </c:upBars>
          <c:downBars>
            <c:spPr>
              <a:solidFill>
                <a:schemeClr val="dk1">
                  <a:lumMod val="50000"/>
                  <a:lumOff val="50000"/>
                </a:schemeClr>
              </a:solidFill>
              <a:ln w="9525">
                <a:solidFill>
                  <a:schemeClr val="dk1">
                    <a:lumMod val="75000"/>
                  </a:schemeClr>
                </a:solidFill>
                <a:round/>
              </a:ln>
              <a:effectLst/>
            </c:spPr>
          </c:downBars>
        </c:upDownBars>
        <c:smooth val="0"/>
        <c:axId val="22161119"/>
        <c:axId val="22149119"/>
      </c:lineChart>
      <c:dateAx>
        <c:axId val="221611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DATE</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m/d/yyyy"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2149119"/>
        <c:crosses val="autoZero"/>
        <c:auto val="1"/>
        <c:lblOffset val="100"/>
        <c:baseTimeUnit val="months"/>
      </c:dateAx>
      <c:valAx>
        <c:axId val="22149119"/>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VOLATALITY(12-MONTH)</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2161119"/>
        <c:crosses val="autoZero"/>
        <c:crossBetween val="between"/>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sz="1400" b="1" i="0" u="none" strike="noStrike" cap="none" baseline="0"/>
              <a:t>UPI vs Bank Credit Growth</a:t>
            </a:r>
            <a:endParaRPr lang="en-US"/>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strRef>
              <c:f>Sheet1!$F$1</c:f>
              <c:strCache>
                <c:ptCount val="1"/>
                <c:pt idx="0">
                  <c:v>UPI_volume_core</c:v>
                </c:pt>
              </c:strCache>
            </c:strRef>
          </c:tx>
          <c:spPr>
            <a:ln w="25400" cap="rnd">
              <a:no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trendline>
            <c:spPr>
              <a:ln w="25400" cap="rnd">
                <a:solidFill>
                  <a:schemeClr val="accent1">
                    <a:alpha val="50000"/>
                  </a:schemeClr>
                </a:solidFill>
              </a:ln>
              <a:effectLst/>
            </c:spPr>
            <c:trendlineType val="linear"/>
            <c:dispRSqr val="0"/>
            <c:dispEq val="0"/>
          </c:trendline>
          <c:trendline>
            <c:spPr>
              <a:ln w="25400" cap="rnd">
                <a:solidFill>
                  <a:schemeClr val="accent1">
                    <a:alpha val="50000"/>
                  </a:schemeClr>
                </a:solidFill>
              </a:ln>
              <a:effectLst/>
            </c:spPr>
            <c:trendlineType val="linear"/>
            <c:dispRSqr val="0"/>
            <c:dispEq val="0"/>
          </c:trendline>
          <c:trendline>
            <c:spPr>
              <a:ln w="25400" cap="rnd">
                <a:solidFill>
                  <a:schemeClr val="accent1">
                    <a:alpha val="50000"/>
                  </a:schemeClr>
                </a:solidFill>
              </a:ln>
              <a:effectLst/>
            </c:spPr>
            <c:trendlineType val="linear"/>
            <c:dispRSqr val="1"/>
            <c:dispEq val="1"/>
            <c:trendlineLbl>
              <c:layout>
                <c:manualLayout>
                  <c:x val="-6.2865234531258529E-2"/>
                  <c:y val="-1.887813282378456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trendlineLbl>
          </c:trendline>
          <c:xVal>
            <c:numRef>
              <c:f>Sheet1!$C$2:$C$86</c:f>
              <c:numCache>
                <c:formatCode>General</c:formatCode>
                <c:ptCount val="85"/>
                <c:pt idx="14">
                  <c:v>9.1354740547537006</c:v>
                </c:pt>
                <c:pt idx="15">
                  <c:v>8.6826263255913148</c:v>
                </c:pt>
                <c:pt idx="16">
                  <c:v>8.4478028144412853</c:v>
                </c:pt>
                <c:pt idx="17">
                  <c:v>8.2214247648998207</c:v>
                </c:pt>
                <c:pt idx="18">
                  <c:v>8.0072653533437297</c:v>
                </c:pt>
                <c:pt idx="19">
                  <c:v>7.7319825332113679</c:v>
                </c:pt>
                <c:pt idx="20">
                  <c:v>7.1823560142835419</c:v>
                </c:pt>
                <c:pt idx="21">
                  <c:v>7.7133167605677011</c:v>
                </c:pt>
                <c:pt idx="22">
                  <c:v>9.1244380818394699</c:v>
                </c:pt>
                <c:pt idx="23">
                  <c:v>8.6254131053687075</c:v>
                </c:pt>
                <c:pt idx="24">
                  <c:v>8.0978713858328213</c:v>
                </c:pt>
                <c:pt idx="25">
                  <c:v>7.8666466826941228</c:v>
                </c:pt>
                <c:pt idx="26">
                  <c:v>9.1680545393042934</c:v>
                </c:pt>
                <c:pt idx="27">
                  <c:v>9.5106242868415514</c:v>
                </c:pt>
                <c:pt idx="28">
                  <c:v>10.20902765005356</c:v>
                </c:pt>
                <c:pt idx="29">
                  <c:v>10.610410143070382</c:v>
                </c:pt>
                <c:pt idx="30">
                  <c:v>10.655637953806597</c:v>
                </c:pt>
                <c:pt idx="31">
                  <c:v>9.9341538446144249</c:v>
                </c:pt>
                <c:pt idx="32">
                  <c:v>10.793038576615221</c:v>
                </c:pt>
                <c:pt idx="33">
                  <c:v>12.30150549245559</c:v>
                </c:pt>
                <c:pt idx="34">
                  <c:v>11.814159948596581</c:v>
                </c:pt>
                <c:pt idx="35">
                  <c:v>13.091174887892375</c:v>
                </c:pt>
                <c:pt idx="36">
                  <c:v>14.028960544185809</c:v>
                </c:pt>
                <c:pt idx="37">
                  <c:v>14.394616844815843</c:v>
                </c:pt>
                <c:pt idx="38">
                  <c:v>14.235706805069203</c:v>
                </c:pt>
                <c:pt idx="39">
                  <c:v>13.818430800799186</c:v>
                </c:pt>
                <c:pt idx="40">
                  <c:v>14.430200418810045</c:v>
                </c:pt>
                <c:pt idx="41">
                  <c:v>15.796837135356823</c:v>
                </c:pt>
                <c:pt idx="42">
                  <c:v>17.61912663523233</c:v>
                </c:pt>
                <c:pt idx="43">
                  <c:v>18.935491518575741</c:v>
                </c:pt>
                <c:pt idx="44">
                  <c:v>19.019755075361623</c:v>
                </c:pt>
                <c:pt idx="45">
                  <c:v>18.066452028984003</c:v>
                </c:pt>
                <c:pt idx="46">
                  <c:v>18.389942547640636</c:v>
                </c:pt>
                <c:pt idx="47">
                  <c:v>18.956307010828045</c:v>
                </c:pt>
                <c:pt idx="48">
                  <c:v>18.566395871655384</c:v>
                </c:pt>
                <c:pt idx="49">
                  <c:v>18.970434170098383</c:v>
                </c:pt>
                <c:pt idx="50">
                  <c:v>18.57500065026634</c:v>
                </c:pt>
                <c:pt idx="51">
                  <c:v>19.186395513752629</c:v>
                </c:pt>
                <c:pt idx="52">
                  <c:v>17.489303667524993</c:v>
                </c:pt>
                <c:pt idx="53">
                  <c:v>18.456610761109538</c:v>
                </c:pt>
                <c:pt idx="54">
                  <c:v>19.214518036157013</c:v>
                </c:pt>
                <c:pt idx="55">
                  <c:v>18.858669037007971</c:v>
                </c:pt>
                <c:pt idx="56">
                  <c:v>19.20849632917605</c:v>
                </c:pt>
                <c:pt idx="57">
                  <c:v>19.584468306928194</c:v>
                </c:pt>
                <c:pt idx="58">
                  <c:v>18.74343713738029</c:v>
                </c:pt>
                <c:pt idx="59">
                  <c:v>18.651482037358292</c:v>
                </c:pt>
                <c:pt idx="60">
                  <c:v>18.418652194983977</c:v>
                </c:pt>
                <c:pt idx="61">
                  <c:v>18.190857409590457</c:v>
                </c:pt>
                <c:pt idx="62">
                  <c:v>17.799220054964881</c:v>
                </c:pt>
                <c:pt idx="63">
                  <c:v>16.839647612331788</c:v>
                </c:pt>
                <c:pt idx="64">
                  <c:v>18.53878792704333</c:v>
                </c:pt>
                <c:pt idx="65">
                  <c:v>17.835691374515395</c:v>
                </c:pt>
                <c:pt idx="66">
                  <c:v>12.25861629549776</c:v>
                </c:pt>
                <c:pt idx="67">
                  <c:v>12.534216835908406</c:v>
                </c:pt>
                <c:pt idx="68">
                  <c:v>12.269746470500365</c:v>
                </c:pt>
                <c:pt idx="69">
                  <c:v>10.93634157069312</c:v>
                </c:pt>
                <c:pt idx="70">
                  <c:v>11.445701831073606</c:v>
                </c:pt>
                <c:pt idx="71">
                  <c:v>10.63067425400812</c:v>
                </c:pt>
                <c:pt idx="72">
                  <c:v>11.108554717172559</c:v>
                </c:pt>
                <c:pt idx="73">
                  <c:v>10.649797238015623</c:v>
                </c:pt>
                <c:pt idx="74">
                  <c:v>10.796525929654678</c:v>
                </c:pt>
                <c:pt idx="75">
                  <c:v>10.446921420879729</c:v>
                </c:pt>
                <c:pt idx="76">
                  <c:v>9.0929844493760079</c:v>
                </c:pt>
                <c:pt idx="77">
                  <c:v>6.9915219180317401</c:v>
                </c:pt>
                <c:pt idx="78">
                  <c:v>9.7401098533951735</c:v>
                </c:pt>
                <c:pt idx="79">
                  <c:v>9.0508552857116342</c:v>
                </c:pt>
                <c:pt idx="80">
                  <c:v>8.6664747454653366</c:v>
                </c:pt>
                <c:pt idx="81">
                  <c:v>9.3826654411601762</c:v>
                </c:pt>
                <c:pt idx="82">
                  <c:v>10.262417263078859</c:v>
                </c:pt>
                <c:pt idx="83">
                  <c:v>9.846797805414397</c:v>
                </c:pt>
                <c:pt idx="84">
                  <c:v>12.54831234765601</c:v>
                </c:pt>
              </c:numCache>
            </c:numRef>
          </c:xVal>
          <c:yVal>
            <c:numRef>
              <c:f>Sheet1!$F$2:$F$86</c:f>
              <c:numCache>
                <c:formatCode>General</c:formatCode>
                <c:ptCount val="85"/>
                <c:pt idx="10">
                  <c:v>124.68</c:v>
                </c:pt>
                <c:pt idx="11">
                  <c:v>132.56</c:v>
                </c:pt>
                <c:pt idx="12">
                  <c:v>130.5</c:v>
                </c:pt>
                <c:pt idx="13">
                  <c:v>130.84</c:v>
                </c:pt>
                <c:pt idx="14">
                  <c:v>121.88</c:v>
                </c:pt>
                <c:pt idx="15">
                  <c:v>99.96</c:v>
                </c:pt>
                <c:pt idx="16">
                  <c:v>124.45</c:v>
                </c:pt>
                <c:pt idx="17">
                  <c:v>133.69</c:v>
                </c:pt>
                <c:pt idx="18">
                  <c:v>149.74</c:v>
                </c:pt>
                <c:pt idx="19">
                  <c:v>161.88</c:v>
                </c:pt>
                <c:pt idx="20">
                  <c:v>180.02</c:v>
                </c:pt>
                <c:pt idx="21">
                  <c:v>207.16</c:v>
                </c:pt>
                <c:pt idx="22">
                  <c:v>221.02</c:v>
                </c:pt>
                <c:pt idx="23">
                  <c:v>223.42</c:v>
                </c:pt>
                <c:pt idx="24">
                  <c:v>229.29</c:v>
                </c:pt>
                <c:pt idx="25">
                  <c:v>230.27</c:v>
                </c:pt>
                <c:pt idx="26">
                  <c:v>273.17</c:v>
                </c:pt>
                <c:pt idx="27">
                  <c:v>264.11</c:v>
                </c:pt>
                <c:pt idx="28">
                  <c:v>252.92</c:v>
                </c:pt>
                <c:pt idx="29">
                  <c:v>280.75</c:v>
                </c:pt>
                <c:pt idx="30">
                  <c:v>324.55</c:v>
                </c:pt>
                <c:pt idx="31">
                  <c:v>355.55</c:v>
                </c:pt>
                <c:pt idx="32">
                  <c:v>365.58</c:v>
                </c:pt>
                <c:pt idx="33">
                  <c:v>421.84</c:v>
                </c:pt>
                <c:pt idx="34">
                  <c:v>418.65</c:v>
                </c:pt>
                <c:pt idx="35">
                  <c:v>456.63</c:v>
                </c:pt>
                <c:pt idx="36">
                  <c:v>461.72</c:v>
                </c:pt>
                <c:pt idx="37">
                  <c:v>452.75</c:v>
                </c:pt>
                <c:pt idx="38">
                  <c:v>540.57000000000005</c:v>
                </c:pt>
                <c:pt idx="39">
                  <c:v>558.44000000000005</c:v>
                </c:pt>
                <c:pt idx="40">
                  <c:v>594.63</c:v>
                </c:pt>
                <c:pt idx="41">
                  <c:v>586.29</c:v>
                </c:pt>
                <c:pt idx="42">
                  <c:v>628.92999999999995</c:v>
                </c:pt>
                <c:pt idx="43">
                  <c:v>658.19</c:v>
                </c:pt>
                <c:pt idx="44">
                  <c:v>678.08</c:v>
                </c:pt>
                <c:pt idx="45">
                  <c:v>730.54</c:v>
                </c:pt>
                <c:pt idx="46">
                  <c:v>730.94</c:v>
                </c:pt>
                <c:pt idx="47">
                  <c:v>782.89</c:v>
                </c:pt>
                <c:pt idx="48">
                  <c:v>803.86</c:v>
                </c:pt>
                <c:pt idx="49">
                  <c:v>753.48</c:v>
                </c:pt>
                <c:pt idx="50">
                  <c:v>865.16</c:v>
                </c:pt>
                <c:pt idx="51">
                  <c:v>886.33</c:v>
                </c:pt>
                <c:pt idx="52">
                  <c:v>941.52</c:v>
                </c:pt>
                <c:pt idx="53">
                  <c:v>933.51</c:v>
                </c:pt>
                <c:pt idx="54">
                  <c:v>996.43</c:v>
                </c:pt>
                <c:pt idx="55">
                  <c:v>1055.56</c:v>
                </c:pt>
                <c:pt idx="56">
                  <c:v>1058.5999999999999</c:v>
                </c:pt>
                <c:pt idx="57">
                  <c:v>1140.8800000000001</c:v>
                </c:pt>
                <c:pt idx="58">
                  <c:v>1123.53</c:v>
                </c:pt>
                <c:pt idx="59">
                  <c:v>1202.02</c:v>
                </c:pt>
                <c:pt idx="60">
                  <c:v>1220.3</c:v>
                </c:pt>
                <c:pt idx="61">
                  <c:v>1210.27</c:v>
                </c:pt>
                <c:pt idx="62">
                  <c:v>1344</c:v>
                </c:pt>
                <c:pt idx="63">
                  <c:v>1330.4</c:v>
                </c:pt>
                <c:pt idx="64">
                  <c:v>1403.58</c:v>
                </c:pt>
                <c:pt idx="65">
                  <c:v>1388.51</c:v>
                </c:pt>
                <c:pt idx="66">
                  <c:v>1443.55</c:v>
                </c:pt>
                <c:pt idx="67">
                  <c:v>1496.3</c:v>
                </c:pt>
                <c:pt idx="68">
                  <c:v>1504.17</c:v>
                </c:pt>
                <c:pt idx="69">
                  <c:v>1658.5</c:v>
                </c:pt>
                <c:pt idx="70">
                  <c:v>1548.2</c:v>
                </c:pt>
                <c:pt idx="71">
                  <c:v>1673</c:v>
                </c:pt>
                <c:pt idx="72">
                  <c:v>1699.6</c:v>
                </c:pt>
                <c:pt idx="73">
                  <c:v>1610.62</c:v>
                </c:pt>
                <c:pt idx="74">
                  <c:v>1830.15</c:v>
                </c:pt>
                <c:pt idx="75">
                  <c:v>1789.34</c:v>
                </c:pt>
                <c:pt idx="76">
                  <c:v>1867.75</c:v>
                </c:pt>
                <c:pt idx="77">
                  <c:v>1839.5</c:v>
                </c:pt>
                <c:pt idx="78">
                  <c:v>1946.79</c:v>
                </c:pt>
                <c:pt idx="79">
                  <c:v>2000.83</c:v>
                </c:pt>
                <c:pt idx="80">
                  <c:v>1963.34</c:v>
                </c:pt>
                <c:pt idx="81">
                  <c:v>2070.09</c:v>
                </c:pt>
                <c:pt idx="82">
                  <c:v>2046.7</c:v>
                </c:pt>
                <c:pt idx="83">
                  <c:v>2163.4699999999998</c:v>
                </c:pt>
                <c:pt idx="84">
                  <c:v>2170.34</c:v>
                </c:pt>
              </c:numCache>
            </c:numRef>
          </c:yVal>
          <c:smooth val="0"/>
          <c:extLst>
            <c:ext xmlns:c16="http://schemas.microsoft.com/office/drawing/2014/chart" uri="{C3380CC4-5D6E-409C-BE32-E72D297353CC}">
              <c16:uniqueId val="{00000003-3DA3-40C5-BB09-B8B2323AC5CD}"/>
            </c:ext>
          </c:extLst>
        </c:ser>
        <c:dLbls>
          <c:showLegendKey val="0"/>
          <c:showVal val="0"/>
          <c:showCatName val="0"/>
          <c:showSerName val="0"/>
          <c:showPercent val="0"/>
          <c:showBubbleSize val="0"/>
        </c:dLbls>
        <c:axId val="1953016975"/>
        <c:axId val="1953009295"/>
      </c:scatterChart>
      <c:valAx>
        <c:axId val="1953016975"/>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sz="900" b="1" i="0" u="none" strike="noStrike" baseline="0"/>
                  <a:t>Credit Growth</a:t>
                </a:r>
                <a:endParaRPr lang="en-IN"/>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953009295"/>
        <c:crosses val="autoZero"/>
        <c:crossBetween val="midCat"/>
      </c:valAx>
      <c:valAx>
        <c:axId val="1953009295"/>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sz="900" b="1" i="0" u="none" strike="noStrike" baseline="0"/>
                  <a:t>UPI</a:t>
                </a:r>
                <a:endParaRPr lang="en-IN"/>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953016975"/>
        <c:crosses val="autoZero"/>
        <c:crossBetween val="midCat"/>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sz="1400" b="1" i="0" u="none" strike="noStrike" cap="none" baseline="0"/>
              <a:t>UPI vs Personal Loan Growth</a:t>
            </a:r>
            <a:endParaRPr lang="en-US"/>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strRef>
              <c:f>Sheet1!$F$1</c:f>
              <c:strCache>
                <c:ptCount val="1"/>
                <c:pt idx="0">
                  <c:v>UPI_volume_core</c:v>
                </c:pt>
              </c:strCache>
            </c:strRef>
          </c:tx>
          <c:spPr>
            <a:ln w="25400" cap="rnd">
              <a:no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trendline>
            <c:spPr>
              <a:ln w="25400" cap="rnd">
                <a:solidFill>
                  <a:schemeClr val="accent1">
                    <a:alpha val="50000"/>
                  </a:schemeClr>
                </a:solidFill>
              </a:ln>
              <a:effectLst/>
            </c:spPr>
            <c:trendlineType val="linear"/>
            <c:dispRSqr val="0"/>
            <c:dispEq val="0"/>
          </c:trendline>
          <c:trendline>
            <c:spPr>
              <a:ln w="25400" cap="rnd">
                <a:solidFill>
                  <a:schemeClr val="accent1">
                    <a:alpha val="50000"/>
                  </a:schemeClr>
                </a:solidFill>
              </a:ln>
              <a:effectLst/>
            </c:spPr>
            <c:trendlineType val="linear"/>
            <c:dispRSqr val="0"/>
            <c:dispEq val="0"/>
          </c:trendline>
          <c:trendline>
            <c:spPr>
              <a:ln w="25400" cap="rnd">
                <a:solidFill>
                  <a:schemeClr val="accent1">
                    <a:alpha val="50000"/>
                  </a:schemeClr>
                </a:solidFill>
              </a:ln>
              <a:effectLst/>
            </c:spPr>
            <c:trendlineType val="linear"/>
            <c:dispRSqr val="1"/>
            <c:dispEq val="1"/>
            <c:trendlineLbl>
              <c:layout>
                <c:manualLayout>
                  <c:x val="-7.7065230606392183E-3"/>
                  <c:y val="-2.7639715767236412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trendlineLbl>
          </c:trendline>
          <c:xVal>
            <c:numRef>
              <c:f>Sheet1!$E$2:$E$86</c:f>
              <c:numCache>
                <c:formatCode>General</c:formatCode>
                <c:ptCount val="85"/>
                <c:pt idx="14">
                  <c:v>17.045871627487273</c:v>
                </c:pt>
                <c:pt idx="15">
                  <c:v>14.993110280542176</c:v>
                </c:pt>
                <c:pt idx="16">
                  <c:v>12.05646032031671</c:v>
                </c:pt>
                <c:pt idx="17">
                  <c:v>10.594405282412778</c:v>
                </c:pt>
                <c:pt idx="18">
                  <c:v>10.49698287336942</c:v>
                </c:pt>
                <c:pt idx="19">
                  <c:v>11.236629547272292</c:v>
                </c:pt>
                <c:pt idx="20">
                  <c:v>10.598542490440256</c:v>
                </c:pt>
                <c:pt idx="21">
                  <c:v>9.1658194614534061</c:v>
                </c:pt>
                <c:pt idx="22">
                  <c:v>9.2818966859216534</c:v>
                </c:pt>
                <c:pt idx="23">
                  <c:v>9.9762091004245601</c:v>
                </c:pt>
                <c:pt idx="24">
                  <c:v>9.4587063891484746</c:v>
                </c:pt>
                <c:pt idx="25">
                  <c:v>9.0966062668935912</c:v>
                </c:pt>
                <c:pt idx="26">
                  <c:v>9.5525327096492205</c:v>
                </c:pt>
                <c:pt idx="27">
                  <c:v>10.176053745772728</c:v>
                </c:pt>
                <c:pt idx="28">
                  <c:v>12.832389389555354</c:v>
                </c:pt>
                <c:pt idx="29">
                  <c:v>12.441271955137889</c:v>
                </c:pt>
                <c:pt idx="30">
                  <c:v>11.891277347742779</c:v>
                </c:pt>
                <c:pt idx="31">
                  <c:v>12.938629933068224</c:v>
                </c:pt>
                <c:pt idx="32">
                  <c:v>13.570826725502361</c:v>
                </c:pt>
                <c:pt idx="33">
                  <c:v>13.486191299803419</c:v>
                </c:pt>
                <c:pt idx="34">
                  <c:v>13.176643849569537</c:v>
                </c:pt>
                <c:pt idx="35">
                  <c:v>12.887813993728336</c:v>
                </c:pt>
                <c:pt idx="36">
                  <c:v>15.934511734640822</c:v>
                </c:pt>
                <c:pt idx="37">
                  <c:v>16.739813868298327</c:v>
                </c:pt>
                <c:pt idx="38">
                  <c:v>19.204693996883847</c:v>
                </c:pt>
                <c:pt idx="39">
                  <c:v>19.952386926948627</c:v>
                </c:pt>
                <c:pt idx="40">
                  <c:v>22.508174048068994</c:v>
                </c:pt>
                <c:pt idx="41">
                  <c:v>24.416296673532113</c:v>
                </c:pt>
                <c:pt idx="42">
                  <c:v>26.324719805771558</c:v>
                </c:pt>
                <c:pt idx="43">
                  <c:v>25.720238384659556</c:v>
                </c:pt>
                <c:pt idx="44">
                  <c:v>26.054446004423749</c:v>
                </c:pt>
                <c:pt idx="45">
                  <c:v>26.844536545352483</c:v>
                </c:pt>
                <c:pt idx="46">
                  <c:v>27.564158737365908</c:v>
                </c:pt>
                <c:pt idx="47">
                  <c:v>27.295900423054654</c:v>
                </c:pt>
                <c:pt idx="48">
                  <c:v>27.439816441563615</c:v>
                </c:pt>
                <c:pt idx="49">
                  <c:v>24.474221948468731</c:v>
                </c:pt>
                <c:pt idx="50">
                  <c:v>21.370541182163215</c:v>
                </c:pt>
                <c:pt idx="51">
                  <c:v>21.046462151498304</c:v>
                </c:pt>
                <c:pt idx="52">
                  <c:v>19.65147765330919</c:v>
                </c:pt>
                <c:pt idx="53">
                  <c:v>19.320799397429834</c:v>
                </c:pt>
                <c:pt idx="54">
                  <c:v>21.048533886863964</c:v>
                </c:pt>
                <c:pt idx="55">
                  <c:v>31.65865149181306</c:v>
                </c:pt>
                <c:pt idx="56">
                  <c:v>8.0954388627338503</c:v>
                </c:pt>
                <c:pt idx="57">
                  <c:v>30.384256535510758</c:v>
                </c:pt>
                <c:pt idx="58">
                  <c:v>32.598702750587826</c:v>
                </c:pt>
                <c:pt idx="59">
                  <c:v>33.054866287927624</c:v>
                </c:pt>
                <c:pt idx="60">
                  <c:v>31.518007981410602</c:v>
                </c:pt>
                <c:pt idx="61">
                  <c:v>31.803740154397442</c:v>
                </c:pt>
                <c:pt idx="62">
                  <c:v>31.258199301871102</c:v>
                </c:pt>
                <c:pt idx="63">
                  <c:v>30.622020930350978</c:v>
                </c:pt>
                <c:pt idx="64">
                  <c:v>30.179372131997528</c:v>
                </c:pt>
                <c:pt idx="65">
                  <c:v>31.872137533257238</c:v>
                </c:pt>
                <c:pt idx="66">
                  <c:v>28.752114535046381</c:v>
                </c:pt>
                <c:pt idx="67">
                  <c:v>16.864120098913048</c:v>
                </c:pt>
                <c:pt idx="68">
                  <c:v>40.886990834901439</c:v>
                </c:pt>
                <c:pt idx="69">
                  <c:v>15.950127133049774</c:v>
                </c:pt>
                <c:pt idx="70">
                  <c:v>12.964227942478113</c:v>
                </c:pt>
                <c:pt idx="71">
                  <c:v>13.414986263290739</c:v>
                </c:pt>
                <c:pt idx="72">
                  <c:v>11.968934713162582</c:v>
                </c:pt>
                <c:pt idx="73">
                  <c:v>11.759478445916628</c:v>
                </c:pt>
                <c:pt idx="74">
                  <c:v>11.60134887838986</c:v>
                </c:pt>
                <c:pt idx="75">
                  <c:v>11.547134636362788</c:v>
                </c:pt>
                <c:pt idx="76">
                  <c:v>11.524338044315542</c:v>
                </c:pt>
                <c:pt idx="77">
                  <c:v>11.093910842088883</c:v>
                </c:pt>
                <c:pt idx="78">
                  <c:v>12.106727047066347</c:v>
                </c:pt>
                <c:pt idx="79">
                  <c:v>11.415065892258603</c:v>
                </c:pt>
                <c:pt idx="80">
                  <c:v>11.842158016367254</c:v>
                </c:pt>
                <c:pt idx="81">
                  <c:v>11.748937189807096</c:v>
                </c:pt>
                <c:pt idx="82">
                  <c:v>14.315598685147135</c:v>
                </c:pt>
                <c:pt idx="83">
                  <c:v>13.10515904845737</c:v>
                </c:pt>
                <c:pt idx="84">
                  <c:v>14.726552779650115</c:v>
                </c:pt>
              </c:numCache>
            </c:numRef>
          </c:xVal>
          <c:yVal>
            <c:numRef>
              <c:f>Sheet1!$F$2:$F$86</c:f>
              <c:numCache>
                <c:formatCode>General</c:formatCode>
                <c:ptCount val="85"/>
                <c:pt idx="10">
                  <c:v>124.68</c:v>
                </c:pt>
                <c:pt idx="11">
                  <c:v>132.56</c:v>
                </c:pt>
                <c:pt idx="12">
                  <c:v>130.5</c:v>
                </c:pt>
                <c:pt idx="13">
                  <c:v>130.84</c:v>
                </c:pt>
                <c:pt idx="14">
                  <c:v>121.88</c:v>
                </c:pt>
                <c:pt idx="15">
                  <c:v>99.96</c:v>
                </c:pt>
                <c:pt idx="16">
                  <c:v>124.45</c:v>
                </c:pt>
                <c:pt idx="17">
                  <c:v>133.69</c:v>
                </c:pt>
                <c:pt idx="18">
                  <c:v>149.74</c:v>
                </c:pt>
                <c:pt idx="19">
                  <c:v>161.88</c:v>
                </c:pt>
                <c:pt idx="20">
                  <c:v>180.02</c:v>
                </c:pt>
                <c:pt idx="21">
                  <c:v>207.16</c:v>
                </c:pt>
                <c:pt idx="22">
                  <c:v>221.02</c:v>
                </c:pt>
                <c:pt idx="23">
                  <c:v>223.42</c:v>
                </c:pt>
                <c:pt idx="24">
                  <c:v>229.29</c:v>
                </c:pt>
                <c:pt idx="25">
                  <c:v>230.27</c:v>
                </c:pt>
                <c:pt idx="26">
                  <c:v>273.17</c:v>
                </c:pt>
                <c:pt idx="27">
                  <c:v>264.11</c:v>
                </c:pt>
                <c:pt idx="28">
                  <c:v>252.92</c:v>
                </c:pt>
                <c:pt idx="29">
                  <c:v>280.75</c:v>
                </c:pt>
                <c:pt idx="30">
                  <c:v>324.55</c:v>
                </c:pt>
                <c:pt idx="31">
                  <c:v>355.55</c:v>
                </c:pt>
                <c:pt idx="32">
                  <c:v>365.58</c:v>
                </c:pt>
                <c:pt idx="33">
                  <c:v>421.84</c:v>
                </c:pt>
                <c:pt idx="34">
                  <c:v>418.65</c:v>
                </c:pt>
                <c:pt idx="35">
                  <c:v>456.63</c:v>
                </c:pt>
                <c:pt idx="36">
                  <c:v>461.72</c:v>
                </c:pt>
                <c:pt idx="37">
                  <c:v>452.75</c:v>
                </c:pt>
                <c:pt idx="38">
                  <c:v>540.57000000000005</c:v>
                </c:pt>
                <c:pt idx="39">
                  <c:v>558.44000000000005</c:v>
                </c:pt>
                <c:pt idx="40">
                  <c:v>594.63</c:v>
                </c:pt>
                <c:pt idx="41">
                  <c:v>586.29</c:v>
                </c:pt>
                <c:pt idx="42">
                  <c:v>628.92999999999995</c:v>
                </c:pt>
                <c:pt idx="43">
                  <c:v>658.19</c:v>
                </c:pt>
                <c:pt idx="44">
                  <c:v>678.08</c:v>
                </c:pt>
                <c:pt idx="45">
                  <c:v>730.54</c:v>
                </c:pt>
                <c:pt idx="46">
                  <c:v>730.94</c:v>
                </c:pt>
                <c:pt idx="47">
                  <c:v>782.89</c:v>
                </c:pt>
                <c:pt idx="48">
                  <c:v>803.86</c:v>
                </c:pt>
                <c:pt idx="49">
                  <c:v>753.48</c:v>
                </c:pt>
                <c:pt idx="50">
                  <c:v>865.16</c:v>
                </c:pt>
                <c:pt idx="51">
                  <c:v>886.33</c:v>
                </c:pt>
                <c:pt idx="52">
                  <c:v>941.52</c:v>
                </c:pt>
                <c:pt idx="53">
                  <c:v>933.51</c:v>
                </c:pt>
                <c:pt idx="54">
                  <c:v>996.43</c:v>
                </c:pt>
                <c:pt idx="55">
                  <c:v>1055.56</c:v>
                </c:pt>
                <c:pt idx="56">
                  <c:v>1058.5999999999999</c:v>
                </c:pt>
                <c:pt idx="57">
                  <c:v>1140.8800000000001</c:v>
                </c:pt>
                <c:pt idx="58">
                  <c:v>1123.53</c:v>
                </c:pt>
                <c:pt idx="59">
                  <c:v>1202.02</c:v>
                </c:pt>
                <c:pt idx="60">
                  <c:v>1220.3</c:v>
                </c:pt>
                <c:pt idx="61">
                  <c:v>1210.27</c:v>
                </c:pt>
                <c:pt idx="62">
                  <c:v>1344</c:v>
                </c:pt>
                <c:pt idx="63">
                  <c:v>1330.4</c:v>
                </c:pt>
                <c:pt idx="64">
                  <c:v>1403.58</c:v>
                </c:pt>
                <c:pt idx="65">
                  <c:v>1388.51</c:v>
                </c:pt>
                <c:pt idx="66">
                  <c:v>1443.55</c:v>
                </c:pt>
                <c:pt idx="67">
                  <c:v>1496.3</c:v>
                </c:pt>
                <c:pt idx="68">
                  <c:v>1504.17</c:v>
                </c:pt>
                <c:pt idx="69">
                  <c:v>1658.5</c:v>
                </c:pt>
                <c:pt idx="70">
                  <c:v>1548.2</c:v>
                </c:pt>
                <c:pt idx="71">
                  <c:v>1673</c:v>
                </c:pt>
                <c:pt idx="72">
                  <c:v>1699.6</c:v>
                </c:pt>
                <c:pt idx="73">
                  <c:v>1610.62</c:v>
                </c:pt>
                <c:pt idx="74">
                  <c:v>1830.15</c:v>
                </c:pt>
                <c:pt idx="75">
                  <c:v>1789.34</c:v>
                </c:pt>
                <c:pt idx="76">
                  <c:v>1867.75</c:v>
                </c:pt>
                <c:pt idx="77">
                  <c:v>1839.5</c:v>
                </c:pt>
                <c:pt idx="78">
                  <c:v>1946.79</c:v>
                </c:pt>
                <c:pt idx="79">
                  <c:v>2000.83</c:v>
                </c:pt>
                <c:pt idx="80">
                  <c:v>1963.34</c:v>
                </c:pt>
                <c:pt idx="81">
                  <c:v>2070.09</c:v>
                </c:pt>
                <c:pt idx="82">
                  <c:v>2046.7</c:v>
                </c:pt>
                <c:pt idx="83">
                  <c:v>2163.4699999999998</c:v>
                </c:pt>
                <c:pt idx="84">
                  <c:v>2170.34</c:v>
                </c:pt>
              </c:numCache>
            </c:numRef>
          </c:yVal>
          <c:smooth val="0"/>
          <c:extLst>
            <c:ext xmlns:c16="http://schemas.microsoft.com/office/drawing/2014/chart" uri="{C3380CC4-5D6E-409C-BE32-E72D297353CC}">
              <c16:uniqueId val="{00000003-9230-45C7-A6A3-9169866BCD58}"/>
            </c:ext>
          </c:extLst>
        </c:ser>
        <c:dLbls>
          <c:showLegendKey val="0"/>
          <c:showVal val="0"/>
          <c:showCatName val="0"/>
          <c:showSerName val="0"/>
          <c:showPercent val="0"/>
          <c:showBubbleSize val="0"/>
        </c:dLbls>
        <c:axId val="1952972815"/>
        <c:axId val="1952981935"/>
      </c:scatterChart>
      <c:valAx>
        <c:axId val="1952972815"/>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Personal</a:t>
                </a:r>
                <a:r>
                  <a:rPr lang="en-IN" baseline="0"/>
                  <a:t> Loan Growth</a:t>
                </a:r>
                <a:endParaRPr lang="en-IN"/>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952981935"/>
        <c:crosses val="autoZero"/>
        <c:crossBetween val="midCat"/>
      </c:valAx>
      <c:valAx>
        <c:axId val="1952981935"/>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UPI</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952972815"/>
        <c:crosses val="autoZero"/>
        <c:crossBetween val="midCat"/>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PRE VS POST COMPARISON</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Sheet2!$Q$6</c:f>
              <c:strCache>
                <c:ptCount val="1"/>
                <c:pt idx="0">
                  <c:v>PRE PERIOD(2019-2020)</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Sheet2!$R$4:$S$5</c:f>
              <c:strCache>
                <c:ptCount val="2"/>
                <c:pt idx="0">
                  <c:v>AVERAGE</c:v>
                </c:pt>
                <c:pt idx="1">
                  <c:v>VOLATALITY</c:v>
                </c:pt>
              </c:strCache>
            </c:strRef>
          </c:cat>
          <c:val>
            <c:numRef>
              <c:f>Sheet2!$R$6:$S$6</c:f>
              <c:numCache>
                <c:formatCode>General</c:formatCode>
                <c:ptCount val="2"/>
                <c:pt idx="0">
                  <c:v>8.287209980830065</c:v>
                </c:pt>
                <c:pt idx="1">
                  <c:v>0.63753503197236006</c:v>
                </c:pt>
              </c:numCache>
            </c:numRef>
          </c:val>
          <c:extLst>
            <c:ext xmlns:c16="http://schemas.microsoft.com/office/drawing/2014/chart" uri="{C3380CC4-5D6E-409C-BE32-E72D297353CC}">
              <c16:uniqueId val="{00000000-28A0-49D5-9D60-1C54721C9200}"/>
            </c:ext>
          </c:extLst>
        </c:ser>
        <c:ser>
          <c:idx val="1"/>
          <c:order val="1"/>
          <c:tx>
            <c:strRef>
              <c:f>Sheet2!$Q$7</c:f>
              <c:strCache>
                <c:ptCount val="1"/>
                <c:pt idx="0">
                  <c:v>POST PERIOD(2021-2026)</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Sheet2!$R$4:$S$5</c:f>
              <c:strCache>
                <c:ptCount val="2"/>
                <c:pt idx="0">
                  <c:v>AVERAGE</c:v>
                </c:pt>
                <c:pt idx="1">
                  <c:v>VOLATALITY</c:v>
                </c:pt>
              </c:strCache>
            </c:strRef>
          </c:cat>
          <c:val>
            <c:numRef>
              <c:f>Sheet2!$R$7:$S$7</c:f>
              <c:numCache>
                <c:formatCode>General</c:formatCode>
                <c:ptCount val="2"/>
                <c:pt idx="0">
                  <c:v>13.992318631507787</c:v>
                </c:pt>
                <c:pt idx="1">
                  <c:v>4.011230015163525</c:v>
                </c:pt>
              </c:numCache>
            </c:numRef>
          </c:val>
          <c:extLst>
            <c:ext xmlns:c16="http://schemas.microsoft.com/office/drawing/2014/chart" uri="{C3380CC4-5D6E-409C-BE32-E72D297353CC}">
              <c16:uniqueId val="{00000001-28A0-49D5-9D60-1C54721C9200}"/>
            </c:ext>
          </c:extLst>
        </c:ser>
        <c:dLbls>
          <c:showLegendKey val="0"/>
          <c:showVal val="0"/>
          <c:showCatName val="0"/>
          <c:showSerName val="0"/>
          <c:showPercent val="0"/>
          <c:showBubbleSize val="0"/>
        </c:dLbls>
        <c:gapWidth val="100"/>
        <c:overlap val="-24"/>
        <c:axId val="1953035695"/>
        <c:axId val="1953037135"/>
      </c:barChart>
      <c:catAx>
        <c:axId val="1953035695"/>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53037135"/>
        <c:crosses val="autoZero"/>
        <c:auto val="1"/>
        <c:lblAlgn val="ctr"/>
        <c:lblOffset val="100"/>
        <c:noMultiLvlLbl val="0"/>
      </c:catAx>
      <c:valAx>
        <c:axId val="1953037135"/>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530356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PRE vs POST DLG Policy Comparison</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Sheet2!$V$4</c:f>
              <c:strCache>
                <c:ptCount val="1"/>
                <c:pt idx="0">
                  <c:v>average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Sheet2!$U$5:$U$6</c:f>
              <c:strCache>
                <c:ptCount val="2"/>
                <c:pt idx="0">
                  <c:v>pre-DLG</c:v>
                </c:pt>
                <c:pt idx="1">
                  <c:v>Post DLG</c:v>
                </c:pt>
              </c:strCache>
            </c:strRef>
          </c:cat>
          <c:val>
            <c:numRef>
              <c:f>Sheet2!$V$5:$V$6</c:f>
              <c:numCache>
                <c:formatCode>General</c:formatCode>
                <c:ptCount val="2"/>
                <c:pt idx="0">
                  <c:v>12.629327862408166</c:v>
                </c:pt>
                <c:pt idx="1">
                  <c:v>13.833002350265616</c:v>
                </c:pt>
              </c:numCache>
            </c:numRef>
          </c:val>
          <c:extLst>
            <c:ext xmlns:c16="http://schemas.microsoft.com/office/drawing/2014/chart" uri="{C3380CC4-5D6E-409C-BE32-E72D297353CC}">
              <c16:uniqueId val="{00000000-2F64-41FC-A1D6-0655146E8224}"/>
            </c:ext>
          </c:extLst>
        </c:ser>
        <c:ser>
          <c:idx val="1"/>
          <c:order val="1"/>
          <c:tx>
            <c:strRef>
              <c:f>Sheet2!$W$4</c:f>
              <c:strCache>
                <c:ptCount val="1"/>
                <c:pt idx="0">
                  <c:v>volatality</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Sheet2!$U$5:$U$6</c:f>
              <c:strCache>
                <c:ptCount val="2"/>
                <c:pt idx="0">
                  <c:v>pre-DLG</c:v>
                </c:pt>
                <c:pt idx="1">
                  <c:v>Post DLG</c:v>
                </c:pt>
              </c:strCache>
            </c:strRef>
          </c:cat>
          <c:val>
            <c:numRef>
              <c:f>Sheet2!$W$5:$W$6</c:f>
              <c:numCache>
                <c:formatCode>General</c:formatCode>
                <c:ptCount val="2"/>
                <c:pt idx="0">
                  <c:v>4.2458370437400212</c:v>
                </c:pt>
                <c:pt idx="1">
                  <c:v>4.1687188037184004</c:v>
                </c:pt>
              </c:numCache>
            </c:numRef>
          </c:val>
          <c:extLst>
            <c:ext xmlns:c16="http://schemas.microsoft.com/office/drawing/2014/chart" uri="{C3380CC4-5D6E-409C-BE32-E72D297353CC}">
              <c16:uniqueId val="{00000001-2F64-41FC-A1D6-0655146E8224}"/>
            </c:ext>
          </c:extLst>
        </c:ser>
        <c:dLbls>
          <c:showLegendKey val="0"/>
          <c:showVal val="0"/>
          <c:showCatName val="0"/>
          <c:showSerName val="0"/>
          <c:showPercent val="0"/>
          <c:showBubbleSize val="0"/>
        </c:dLbls>
        <c:gapWidth val="100"/>
        <c:overlap val="-24"/>
        <c:axId val="1359397039"/>
        <c:axId val="1359397519"/>
      </c:barChart>
      <c:catAx>
        <c:axId val="1359397039"/>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PRE</a:t>
                </a:r>
                <a:r>
                  <a:rPr lang="en-IN" baseline="0"/>
                  <a:t> and Post DLG </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59397519"/>
        <c:crosses val="autoZero"/>
        <c:auto val="1"/>
        <c:lblAlgn val="ctr"/>
        <c:lblOffset val="100"/>
        <c:noMultiLvlLbl val="0"/>
      </c:catAx>
      <c:valAx>
        <c:axId val="1359397519"/>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percentage values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593970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10</Pages>
  <Words>1663</Words>
  <Characters>9482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Bhumikha</dc:creator>
  <cp:keywords/>
  <dc:description/>
  <cp:lastModifiedBy>Shree Bhumikha</cp:lastModifiedBy>
  <cp:revision>2</cp:revision>
  <dcterms:created xsi:type="dcterms:W3CDTF">2026-04-21T10:25:00Z</dcterms:created>
  <dcterms:modified xsi:type="dcterms:W3CDTF">2026-04-21T11:59:00Z</dcterms:modified>
</cp:coreProperties>
</file>