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FaultLab quick start guide</w:t>
      </w:r>
    </w:p>
    <w:p>
      <w:r>
        <w:t>FaultLab tests an AI agent that upgrades a mock order to express shipping and sends a truthful confirmation. It deliberately makes the mock APIs fail, repeats failures, and asks a model to propose recovery rules. It keeps a rule only when repeated checks show improvement without breaking healthy behavior. Orders and notifications are synthetic; live model requests use your W&amp;B credits.</w:t>
      </w:r>
    </w:p>
    <w:p>
      <w:r>
        <w:t>This guide walks through one live learning campaign and explains each step. Learning changes a small recovery policy around the agent; it does not train the model's weights. A valid run may finish without an accepted repair. Aria setup is deferred for this walkthrough.</w:t>
      </w:r>
    </w:p>
    <w:p>
      <w:pPr>
        <w:pStyle w:val="Heading1"/>
      </w:pPr>
      <w:r>
        <w:t>What the parts do</w:t>
      </w:r>
    </w:p>
    <w:tbl>
      <w:tblPr>
        <w:tblW w:type="auto" w:w="0"/>
        <w:tblLayout w:type="fixed"/>
        <w:tblLook w:firstColumn="1" w:firstRow="1" w:lastColumn="0" w:lastRow="0" w:noHBand="0" w:noVBand="1" w:val="04A0"/>
      </w:tblPr>
      <w:tblGrid>
        <w:gridCol w:w="2333"/>
        <w:gridCol w:w="7891"/>
      </w:tblGrid>
      <w:tr>
        <w:trPr>
          <w:cantSplit/>
          <w:tblHeader/>
        </w:trPr>
        <w:tc>
          <w:tcPr>
            <w:tcW w:type="dxa" w:w="2333"/>
            <w:vAlign w:val="center"/>
            <w:tcMar>
              <w:top w:w="65" w:type="dxa"/>
              <w:bottom w:w="65" w:type="dxa"/>
              <w:left w:w="90" w:type="dxa"/>
              <w:right w:w="90" w:type="dxa"/>
            </w:tcMar>
            <w:tcBorders>
              <w:top w:val="single" w:sz="4" w:color="D9D9D9"/>
              <w:left w:val="single" w:sz="4" w:color="D9D9D9"/>
              <w:bottom w:val="single" w:sz="4" w:color="D9D9D9"/>
              <w:right w:val="single" w:sz="4" w:color="D9D9D9"/>
            </w:tcBorders>
            <w:shd w:fill="DDEAF1"/>
          </w:tcPr>
          <w:p>
            <w:pPr>
              <w:spacing w:after="0" w:line="240" w:lineRule="auto"/>
            </w:pPr>
            <w:r>
              <w:rPr>
                <w:b/>
                <w:sz w:val="21"/>
              </w:rPr>
              <w:t>Part</w:t>
            </w:r>
          </w:p>
        </w:tc>
        <w:tc>
          <w:tcPr>
            <w:tcW w:type="dxa" w:w="7891"/>
            <w:vAlign w:val="center"/>
            <w:tcMar>
              <w:top w:w="65" w:type="dxa"/>
              <w:bottom w:w="65" w:type="dxa"/>
              <w:left w:w="90" w:type="dxa"/>
              <w:right w:w="90" w:type="dxa"/>
            </w:tcMar>
            <w:tcBorders>
              <w:top w:val="single" w:sz="4" w:color="D9D9D9"/>
              <w:left w:val="single" w:sz="4" w:color="D9D9D9"/>
              <w:bottom w:val="single" w:sz="4" w:color="D9D9D9"/>
              <w:right w:val="single" w:sz="4" w:color="D9D9D9"/>
            </w:tcBorders>
            <w:shd w:fill="DDEAF1"/>
          </w:tcPr>
          <w:p>
            <w:pPr>
              <w:spacing w:after="0" w:line="240" w:lineRule="auto"/>
            </w:pPr>
            <w:r>
              <w:rPr>
                <w:b/>
                <w:sz w:val="21"/>
              </w:rPr>
              <w:t>Its job</w:t>
            </w:r>
          </w:p>
        </w:tc>
      </w:tr>
      <w:tr>
        <w:trPr>
          <w:cantSplit/>
        </w:trPr>
        <w:tc>
          <w:tcPr>
            <w:tcW w:type="dxa" w:w="2333"/>
            <w:vAlign w:val="center"/>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0" w:lineRule="auto"/>
            </w:pPr>
            <w:r>
              <w:rPr>
                <w:sz w:val="21"/>
              </w:rPr>
              <w:t>Frontend</w:t>
            </w:r>
          </w:p>
        </w:tc>
        <w:tc>
          <w:tcPr>
            <w:tcW w:type="dxa" w:w="7891"/>
            <w:vAlign w:val="center"/>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0" w:lineRule="auto"/>
            </w:pPr>
            <w:r>
              <w:rPr>
                <w:sz w:val="21"/>
              </w:rPr>
              <w:t>The browser dashboard. Sends commands and displays saved progress and evidence. Never receives your API key.</w:t>
            </w:r>
          </w:p>
        </w:tc>
      </w:tr>
      <w:tr>
        <w:trPr>
          <w:cantSplit/>
        </w:trPr>
        <w:tc>
          <w:tcPr>
            <w:tcW w:type="dxa" w:w="2333"/>
            <w:vAlign w:val="center"/>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0" w:lineRule="auto"/>
            </w:pPr>
            <w:r>
              <w:rPr>
                <w:sz w:val="21"/>
              </w:rPr>
              <w:t>Backend</w:t>
            </w:r>
          </w:p>
        </w:tc>
        <w:tc>
          <w:tcPr>
            <w:tcW w:type="dxa" w:w="7891"/>
            <w:vAlign w:val="center"/>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0" w:lineRule="auto"/>
            </w:pPr>
            <w:r>
              <w:rPr>
                <w:sz w:val="21"/>
              </w:rPr>
              <w:t>Coordinates experiments, calls the model, enforces budgets and saves results locally.</w:t>
            </w:r>
          </w:p>
        </w:tc>
      </w:tr>
      <w:tr>
        <w:trPr>
          <w:cantSplit/>
        </w:trPr>
        <w:tc>
          <w:tcPr>
            <w:tcW w:type="dxa" w:w="2333"/>
            <w:vAlign w:val="center"/>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0" w:lineRule="auto"/>
            </w:pPr>
            <w:r>
              <w:rPr>
                <w:sz w:val="21"/>
              </w:rPr>
              <w:t>Simulator</w:t>
            </w:r>
          </w:p>
        </w:tc>
        <w:tc>
          <w:tcPr>
            <w:tcW w:type="dxa" w:w="7891"/>
            <w:vAlign w:val="center"/>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0" w:lineRule="auto"/>
            </w:pPr>
            <w:r>
              <w:rPr>
                <w:sz w:val="21"/>
              </w:rPr>
              <w:t>Local mock order APIs. Creates fresh test worlds and injects timeouts, delayed operations, stale reads or temporary failures.</w:t>
            </w:r>
          </w:p>
        </w:tc>
      </w:tr>
      <w:tr>
        <w:trPr>
          <w:cantSplit/>
        </w:trPr>
        <w:tc>
          <w:tcPr>
            <w:tcW w:type="dxa" w:w="2333"/>
            <w:vAlign w:val="center"/>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0" w:lineRule="auto"/>
            </w:pPr>
            <w:r>
              <w:rPr>
                <w:sz w:val="21"/>
              </w:rPr>
              <w:t>W&amp;B Inference</w:t>
            </w:r>
          </w:p>
        </w:tc>
        <w:tc>
          <w:tcPr>
            <w:tcW w:type="dxa" w:w="7891"/>
            <w:vAlign w:val="center"/>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0" w:lineRule="auto"/>
            </w:pPr>
            <w:r>
              <w:rPr>
                <w:sz w:val="21"/>
              </w:rPr>
              <w:t>Runs the selected model as the task agent, fault Explorer and policy Mechanic in separate roles.</w:t>
            </w:r>
          </w:p>
        </w:tc>
      </w:tr>
      <w:tr>
        <w:trPr>
          <w:cantSplit/>
        </w:trPr>
        <w:tc>
          <w:tcPr>
            <w:tcW w:type="dxa" w:w="2333"/>
            <w:vAlign w:val="center"/>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0" w:lineRule="auto"/>
            </w:pPr>
            <w:r>
              <w:rPr>
                <w:sz w:val="21"/>
              </w:rPr>
              <w:t>Weave</w:t>
            </w:r>
          </w:p>
        </w:tc>
        <w:tc>
          <w:tcPr>
            <w:tcW w:type="dxa" w:w="7891"/>
            <w:vAlign w:val="center"/>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0" w:lineRule="auto"/>
            </w:pPr>
            <w:r>
              <w:rPr>
                <w:sz w:val="21"/>
              </w:rPr>
              <w:t>Stores model/tool traces and evaluation evidence. FaultLab reads evidence back before using it to justify a repair.</w:t>
            </w:r>
          </w:p>
        </w:tc>
      </w:tr>
      <w:tr>
        <w:trPr>
          <w:cantSplit/>
        </w:trPr>
        <w:tc>
          <w:tcPr>
            <w:tcW w:type="dxa" w:w="2333"/>
            <w:vAlign w:val="center"/>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0" w:lineRule="auto"/>
            </w:pPr>
            <w:r>
              <w:rPr>
                <w:sz w:val="21"/>
              </w:rPr>
              <w:t>Fixed Referee</w:t>
            </w:r>
          </w:p>
        </w:tc>
        <w:tc>
          <w:tcPr>
            <w:tcW w:type="dxa" w:w="7891"/>
            <w:vAlign w:val="center"/>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0" w:lineRule="auto"/>
            </w:pPr>
            <w:r>
              <w:rPr>
                <w:sz w:val="21"/>
              </w:rPr>
              <w:t>Checks the original report against actual simulator outcomes using eight fixed rules. The model cannot change these rules.</w:t>
            </w:r>
          </w:p>
        </w:tc>
      </w:tr>
    </w:tbl>
    <w:p>
      <w:pPr>
        <w:spacing w:after="0"/>
      </w:pPr>
    </w:p>
    <w:p>
      <w:pPr>
        <w:pStyle w:val="Heading1"/>
      </w:pPr>
      <w:r>
        <w:t>1 Start the application</w:t>
      </w:r>
    </w:p>
    <w:p>
      <w:r/>
      <w:r>
        <w:rPr>
          <w:b/>
        </w:rPr>
        <w:t>Do this.</w:t>
      </w:r>
      <w:r>
        <w:t xml:space="preserve"> Open three Terminal windows. In each, run:</w:t>
      </w:r>
    </w:p>
    <w:p>
      <w:pPr>
        <w:keepNext w:val="0"/>
        <w:spacing w:after="20"/>
        <w:ind w:left="216"/>
      </w:pPr>
      <w:r>
        <w:rPr>
          <w:rFonts w:ascii="Courier New" w:hAnsi="Courier New"/>
          <w:sz w:val="20"/>
        </w:rPr>
        <w:t>cd /Users/shree/Desktop/Coreweave_AGI_Hackthon/faultlab</w:t>
      </w:r>
    </w:p>
    <w:p>
      <w:r>
        <w:t>Run one service in each window and leave it running:</w:t>
      </w:r>
    </w:p>
    <w:p>
      <w:pPr>
        <w:keepNext/>
        <w:spacing w:after="20"/>
        <w:ind w:left="216"/>
      </w:pPr>
      <w:r>
        <w:rPr>
          <w:rFonts w:ascii="Courier New" w:hAnsi="Courier New"/>
          <w:sz w:val="20"/>
        </w:rPr>
        <w:t># Terminal 1</w:t>
      </w:r>
    </w:p>
    <w:p>
      <w:pPr>
        <w:keepNext/>
        <w:spacing w:after="20"/>
        <w:ind w:left="216"/>
      </w:pPr>
      <w:r>
        <w:rPr>
          <w:rFonts w:ascii="Courier New" w:hAnsi="Courier New"/>
          <w:sz w:val="20"/>
        </w:rPr>
        <w:t>./scripts/start-simulator.sh</w:t>
      </w:r>
    </w:p>
    <w:p>
      <w:pPr>
        <w:keepNext/>
        <w:spacing w:after="20"/>
        <w:ind w:left="216"/>
      </w:pPr>
      <w:r>
        <w:rPr>
          <w:rFonts w:ascii="Courier New" w:hAnsi="Courier New"/>
          <w:sz w:val="20"/>
        </w:rPr>
        <w:t># Terminal 2</w:t>
      </w:r>
    </w:p>
    <w:p>
      <w:pPr>
        <w:keepNext/>
        <w:spacing w:after="20"/>
        <w:ind w:left="216"/>
      </w:pPr>
      <w:r>
        <w:rPr>
          <w:rFonts w:ascii="Courier New" w:hAnsi="Courier New"/>
          <w:sz w:val="20"/>
        </w:rPr>
        <w:t>./scripts/start-live-backend.sh</w:t>
      </w:r>
    </w:p>
    <w:p>
      <w:pPr>
        <w:keepNext/>
        <w:spacing w:after="20"/>
        <w:ind w:left="216"/>
      </w:pPr>
      <w:r>
        <w:rPr>
          <w:rFonts w:ascii="Courier New" w:hAnsi="Courier New"/>
          <w:sz w:val="20"/>
        </w:rPr>
        <w:t># Terminal 3</w:t>
      </w:r>
    </w:p>
    <w:p>
      <w:pPr>
        <w:keepNext w:val="0"/>
        <w:spacing w:after="20"/>
        <w:ind w:left="216"/>
      </w:pPr>
      <w:r>
        <w:rPr>
          <w:rFonts w:ascii="Courier New" w:hAnsi="Courier New"/>
          <w:sz w:val="20"/>
        </w:rPr>
        <w:t>./scripts/start-frontend.sh</w:t>
      </w:r>
    </w:p>
    <w:p>
      <w:r>
        <w:t xml:space="preserve">For a fresh installation, run </w:t>
      </w:r>
      <w:r>
        <w:rPr>
          <w:rFonts w:ascii="Courier New" w:hAnsi="Courier New"/>
          <w:sz w:val="20"/>
        </w:rPr>
        <w:t>./scripts/setup.sh</w:t>
      </w:r>
      <w:r>
        <w:t xml:space="preserve"> once first. If any backend already uses port 8000, stop it with Ctrl+C and restart with the live launcher so it loads the current code and model. Keep an already-running simulator or frontend; do not launch duplicate copies.</w:t>
      </w:r>
    </w:p>
    <w:p>
      <w:r/>
      <w:r>
        <w:rPr>
          <w:b/>
        </w:rPr>
        <w:t>Why.</w:t>
      </w:r>
      <w:r>
        <w:t xml:space="preserve"> The dashboard needs a coordinator and a mock service to perform the experiment.</w:t>
      </w:r>
    </w:p>
    <w:p>
      <w:r/>
      <w:r>
        <w:rPr>
          <w:b/>
        </w:rPr>
        <w:t>Backend.</w:t>
      </w:r>
      <w:r>
        <w:t xml:space="preserve"> The live launcher preserves your existing </w:t>
      </w:r>
      <w:r>
        <w:rPr>
          <w:rFonts w:ascii="Courier New" w:hAnsi="Courier New"/>
          <w:sz w:val="20"/>
        </w:rPr>
        <w:t>.env</w:t>
      </w:r>
      <w:r>
        <w:t xml:space="preserve">. It selects </w:t>
      </w:r>
      <w:r>
        <w:rPr>
          <w:rFonts w:ascii="Courier New" w:hAnsi="Courier New"/>
          <w:sz w:val="20"/>
        </w:rPr>
        <w:t>deepseek-ai/DeepSeek-V4-Pro-0813</w:t>
      </w:r>
      <w:r>
        <w:t xml:space="preserve"> and W&amp;B's canonical project </w:t>
      </w:r>
      <w:r>
        <w:rPr>
          <w:rFonts w:ascii="Courier New" w:hAnsi="Courier New"/>
          <w:sz w:val="20"/>
        </w:rPr>
        <w:t>shreetbohara-quinstreet/Faultlab</w:t>
      </w:r>
      <w:r>
        <w:t>. It sets ceilings of 6,000 calls, 204 million tokens and $100 per campaign, with verified model rates. Starting services makes no model calls. Keep settings and source unchanged during a campaign; the live launcher disables automatic reloads.</w:t>
      </w:r>
    </w:p>
    <w:p>
      <w:r/>
      <w:r>
        <w:rPr>
          <w:b/>
        </w:rPr>
        <w:t>Frontend.</w:t>
      </w:r>
      <w:r>
        <w:t xml:space="preserve"> Open </w:t>
      </w:r>
      <w:r>
        <w:rPr>
          <w:rFonts w:ascii="Courier New" w:hAnsi="Courier New"/>
          <w:sz w:val="20"/>
        </w:rPr>
        <w:t>http://127.0.0.1:5173</w:t>
      </w:r>
      <w:r>
        <w:t xml:space="preserve"> and look for </w:t>
      </w:r>
      <w:r>
        <w:rPr>
          <w:b/>
        </w:rPr>
        <w:t>Backend connected</w:t>
      </w:r>
      <w:r>
        <w:t xml:space="preserve"> and </w:t>
      </w:r>
      <w:r>
        <w:rPr>
          <w:b/>
        </w:rPr>
        <w:t>deepseek-ai/DeepSeek-V4-Pro-0813</w:t>
      </w:r>
      <w:r>
        <w:t xml:space="preserve"> in Run desk. The page reads health and configuration; it has not started a run. If disconnected, check the backend terminal and click </w:t>
      </w:r>
      <w:r>
        <w:rPr>
          <w:b/>
        </w:rPr>
        <w:t>Check again</w:t>
      </w:r>
      <w:r>
        <w:t>.</w:t>
      </w:r>
    </w:p>
    <w:p>
      <w:pPr>
        <w:pStyle w:val="Heading1"/>
      </w:pPr>
      <w:r>
        <w:t>2 Check the model connection</w:t>
      </w:r>
    </w:p>
    <w:p>
      <w:r/>
      <w:r>
        <w:rPr>
          <w:b/>
        </w:rPr>
        <w:t>Do this.</w:t>
      </w:r>
      <w:r>
        <w:t xml:space="preserve"> In a fourth terminal in the same application folder, run:</w:t>
      </w:r>
    </w:p>
    <w:p>
      <w:pPr>
        <w:keepNext/>
        <w:spacing w:after="20"/>
        <w:ind w:left="216"/>
      </w:pPr>
      <w:r>
        <w:rPr>
          <w:rFonts w:ascii="Courier New" w:hAnsi="Courier New"/>
          <w:sz w:val="20"/>
        </w:rPr>
        <w:t>WANDB_PROJECT=Faultlab WANDB_MODEL='deepseek-ai/DeepSeek-V4-Pro-0813' \</w:t>
      </w:r>
    </w:p>
    <w:p>
      <w:pPr>
        <w:keepNext/>
        <w:spacing w:after="20"/>
        <w:ind w:left="216"/>
      </w:pPr>
      <w:r>
        <w:rPr>
          <w:rFonts w:ascii="Courier New" w:hAnsi="Courier New"/>
          <w:sz w:val="20"/>
        </w:rPr>
        <w:t>./scripts/smoke-sponsors.sh \</w:t>
      </w:r>
    </w:p>
    <w:p>
      <w:pPr>
        <w:keepNext/>
        <w:spacing w:after="20"/>
        <w:ind w:left="216"/>
      </w:pPr>
      <w:r>
        <w:rPr>
          <w:rFonts w:ascii="Courier New" w:hAnsi="Courier New"/>
          <w:sz w:val="20"/>
        </w:rPr>
        <w:t>--confirm-entity shreetbohara-quinstreet \</w:t>
      </w:r>
    </w:p>
    <w:p>
      <w:pPr>
        <w:keepNext w:val="0"/>
        <w:spacing w:after="20"/>
        <w:ind w:left="216"/>
      </w:pPr>
      <w:r>
        <w:rPr>
          <w:rFonts w:ascii="Courier New" w:hAnsi="Courier New"/>
          <w:sz w:val="20"/>
        </w:rPr>
        <w:t>--max-output-tokens 2000</w:t>
      </w:r>
    </w:p>
    <w:p>
      <w:r/>
      <w:r>
        <w:rPr>
          <w:b/>
        </w:rPr>
        <w:t>Why.</w:t>
      </w:r>
      <w:r>
        <w:t xml:space="preserve"> This catches account and trace-connection problems before a longer experiment. DeepSeek V4 Pro is selected after real action, report, scenario and diagnosis checks. Thinking is disabled using W&amp;B’s documented setting so the model returns its final answer within the call allowance. This command checks the connection; the runtime also uses JSON mode and exact action schemas. The explicit limit matches the campaign's existing per-call ceiling.</w:t>
      </w:r>
    </w:p>
    <w:p>
      <w:r/>
      <w:r>
        <w:rPr>
          <w:b/>
        </w:rPr>
        <w:t>Backend.</w:t>
      </w:r>
      <w:r>
        <w:t xml:space="preserve"> Verifies the model ID, makes one generation with a 20-second timeout and no automatic retry, then reads back its completed Weave trace. Success prints a response and actual trace link. Keys stay server-side.</w:t>
      </w:r>
    </w:p>
    <w:p>
      <w:r/>
      <w:r>
        <w:rPr>
          <w:b/>
        </w:rPr>
        <w:t>Frontend.</w:t>
      </w:r>
      <w:r>
        <w:t xml:space="preserve"> The result appears in Terminal. The dashboard does not create or start a campaign from this command.</w:t>
      </w:r>
    </w:p>
    <w:p>
      <w:r/>
      <w:r>
        <w:rPr>
          <w:b/>
        </w:rPr>
        <w:t>Check the ordinary order workflow.</w:t>
      </w:r>
      <w:r>
        <w:t xml:space="preserve"> Before fault testing, run:</w:t>
      </w:r>
    </w:p>
    <w:p>
      <w:pPr>
        <w:keepNext w:val="0"/>
        <w:spacing w:after="20"/>
        <w:ind w:left="216"/>
      </w:pPr>
      <w:r>
        <w:rPr>
          <w:rFonts w:ascii="Courier New" w:hAnsi="Courier New"/>
          <w:sz w:val="20"/>
        </w:rPr>
        <w:t>./scripts/run-demo.sh --mode baseline --execute-live --wait</w:t>
      </w:r>
    </w:p>
    <w:p>
      <w:r>
        <w:t xml:space="preserve">This checks that the whole product can upgrade and confirm an order without injected faults. The backend calls the real model and local mock APIs, checks the final report and verifies its Weave trace. In the frontend, paste the printed campaign ID into </w:t>
      </w:r>
      <w:r>
        <w:rPr>
          <w:b/>
        </w:rPr>
        <w:t>Open saved campaign</w:t>
      </w:r>
      <w:r>
        <w:t xml:space="preserve"> and click </w:t>
      </w:r>
      <w:r>
        <w:rPr>
          <w:b/>
        </w:rPr>
        <w:t>Load recording</w:t>
      </w:r>
      <w:r>
        <w:t xml:space="preserve">. Expect </w:t>
      </w:r>
      <w:r>
        <w:rPr>
          <w:rFonts w:ascii="Courier New" w:hAnsi="Courier New"/>
          <w:sz w:val="20"/>
        </w:rPr>
        <w:t>COMPLETED</w:t>
      </w:r>
      <w:r>
        <w:t xml:space="preserve"> and eight passing checks. This is one healthy episode; the 36-trial research baseline is separate.</w:t>
      </w:r>
    </w:p>
    <w:p>
      <w:r>
        <w:t xml:space="preserve">Model discovery is available with </w:t>
      </w:r>
      <w:r>
        <w:rPr>
          <w:rFonts w:ascii="Courier New" w:hAnsi="Courier New"/>
          <w:sz w:val="20"/>
        </w:rPr>
        <w:t>./scripts/check-provider.sh wandb --list-models --confirm-entity shreetbohara-quinstreet</w:t>
      </w:r>
      <w:r>
        <w:t>. To switch models, also update matching verified prices and create a new campaign. The live launcher records its pricing source. Its $100 cap applies to one campaign, not every campaign on the account combined.</w:t>
      </w:r>
    </w:p>
    <w:p>
      <w:pPr>
        <w:pStyle w:val="Heading1"/>
      </w:pPr>
      <w:r>
        <w:t>3 Create and start one learning run</w:t>
      </w:r>
    </w:p>
    <w:p>
      <w:r/>
      <w:r>
        <w:rPr>
          <w:b/>
        </w:rPr>
        <w:t>Do this in the dashboard.</w:t>
      </w:r>
      <w:r>
        <w:t xml:space="preserve"> In </w:t>
      </w:r>
      <w:r>
        <w:rPr>
          <w:b/>
        </w:rPr>
        <w:t>Run desk</w:t>
      </w:r>
      <w:r>
        <w:t xml:space="preserve">, choose </w:t>
      </w:r>
      <w:r>
        <w:rPr>
          <w:b/>
        </w:rPr>
        <w:t>Execution profile → Live · configured model</w:t>
      </w:r>
      <w:r>
        <w:t xml:space="preserve">, then </w:t>
      </w:r>
      <w:r>
        <w:rPr>
          <w:b/>
        </w:rPr>
        <w:t>Campaign mode → Learn</w:t>
      </w:r>
      <w:r>
        <w:t xml:space="preserve">. Keep the supplied task and enter an order label such as </w:t>
      </w:r>
      <w:r>
        <w:rPr>
          <w:rFonts w:ascii="Courier New" w:hAnsi="Courier New"/>
          <w:sz w:val="20"/>
        </w:rPr>
        <w:t>order-live-demo</w:t>
      </w:r>
      <w:r>
        <w:t xml:space="preserve">. If playback is active, click </w:t>
      </w:r>
      <w:r>
        <w:rPr>
          <w:b/>
        </w:rPr>
        <w:t>Exit playback</w:t>
      </w:r>
      <w:r>
        <w:t xml:space="preserve">. Click </w:t>
      </w:r>
      <w:r>
        <w:rPr>
          <w:b/>
        </w:rPr>
        <w:t>Create campaign</w:t>
      </w:r>
      <w:r>
        <w:t xml:space="preserve">. Review the campaign ID, model and budget, then click </w:t>
      </w:r>
      <w:r>
        <w:rPr>
          <w:b/>
        </w:rPr>
        <w:t>Start campaign</w:t>
      </w:r>
      <w:r>
        <w:t xml:space="preserve"> once.</w:t>
      </w:r>
    </w:p>
    <w:p>
      <w:r/>
      <w:r>
        <w:rPr>
          <w:b/>
        </w:rPr>
        <w:t>Why.</w:t>
      </w:r>
      <w:r>
        <w:t xml:space="preserve"> Create fixes what you are testing. Start explicitly begins the paid experiment. The supported task is order upgrade and confirmation; free text does not define arbitrary new tools or workflows.</w:t>
      </w:r>
    </w:p>
    <w:p>
      <w:r/>
      <w:r>
        <w:rPr>
          <w:b/>
        </w:rPr>
        <w:t>Backend.</w:t>
      </w:r>
      <w:r>
        <w:t xml:space="preserve"> Create saves the task, configuration, policy and limits. Start begins bounded model calls in fresh simulated worlds. Changing dropdowns later does not change that saved campaign. Each episode has limits including eight model turns and 90 seconds.</w:t>
      </w:r>
    </w:p>
    <w:p>
      <w:r/>
      <w:r>
        <w:rPr>
          <w:b/>
        </w:rPr>
        <w:t>Frontend.</w:t>
      </w:r>
      <w:r>
        <w:t xml:space="preserve"> The campaign receipt shows recorded settings. Its state and reason change as work proceeds, and the evidence panels fill with saved results.</w:t>
      </w:r>
    </w:p>
    <w:p>
      <w:r/>
      <w:r>
        <w:rPr>
          <w:b/>
        </w:rPr>
        <w:t>Terminal alternative.</w:t>
      </w:r>
      <w:r>
        <w:t xml:space="preserve"> This creates and starts the same kind of learning run. Use either this command or the dashboard sequence for a single campaign:</w:t>
      </w:r>
    </w:p>
    <w:p>
      <w:pPr>
        <w:keepNext w:val="0"/>
        <w:spacing w:after="20"/>
        <w:ind w:left="216"/>
      </w:pPr>
      <w:r>
        <w:rPr>
          <w:rFonts w:ascii="Courier New" w:hAnsi="Courier New"/>
          <w:sz w:val="20"/>
        </w:rPr>
        <w:t>./scripts/run-demo.sh --mode learn --execute-live --wait</w:t>
      </w:r>
    </w:p>
    <w:p>
      <w:r>
        <w:t xml:space="preserve">Copy the printed campaign ID into </w:t>
      </w:r>
      <w:r>
        <w:rPr>
          <w:b/>
        </w:rPr>
        <w:t>Open saved campaign</w:t>
      </w:r>
      <w:r>
        <w:t xml:space="preserve">, then click </w:t>
      </w:r>
      <w:r>
        <w:rPr>
          <w:b/>
        </w:rPr>
        <w:t>Load recording</w:t>
      </w:r>
      <w:r>
        <w:t xml:space="preserve"> to follow it. Loading does not start another run. Leave all three service terminals open.</w:t>
      </w:r>
    </w:p>
    <w:p>
      <w:pPr>
        <w:pStyle w:val="Heading1"/>
      </w:pPr>
      <w:r>
        <w:t>4 Follow the learning process</w:t>
      </w:r>
    </w:p>
    <w:p>
      <w:r>
        <w:t>You do not need to click through these stages. The backend advances automatically and the frontend shows evidence as it arrives. Later stages may remain unreached; missing remote evidence can pause the run at WAITING_EVIDENCE.</w:t>
      </w:r>
    </w:p>
    <w:tbl>
      <w:tblPr>
        <w:tblW w:type="auto" w:w="0"/>
        <w:tblLayout w:type="fixed"/>
        <w:tblLook w:firstColumn="1" w:firstRow="1" w:lastColumn="0" w:lastRow="0" w:noHBand="0" w:noVBand="1" w:val="04A0"/>
      </w:tblPr>
      <w:tblGrid>
        <w:gridCol w:w="2333"/>
        <w:gridCol w:w="7891"/>
      </w:tblGrid>
      <w:tr>
        <w:trPr>
          <w:cantSplit/>
          <w:tblHeader/>
        </w:trPr>
        <w:tc>
          <w:tcPr>
            <w:tcW w:type="dxa" w:w="2333"/>
            <w:vAlign w:val="center"/>
            <w:tcMar>
              <w:top w:w="65" w:type="dxa"/>
              <w:bottom w:w="65" w:type="dxa"/>
              <w:left w:w="90" w:type="dxa"/>
              <w:right w:w="90" w:type="dxa"/>
            </w:tcMar>
            <w:tcBorders>
              <w:top w:val="single" w:sz="4" w:color="D9D9D9"/>
              <w:left w:val="single" w:sz="4" w:color="D9D9D9"/>
              <w:bottom w:val="single" w:sz="4" w:color="D9D9D9"/>
              <w:right w:val="single" w:sz="4" w:color="D9D9D9"/>
            </w:tcBorders>
            <w:shd w:fill="DDEAF1"/>
          </w:tcPr>
          <w:p>
            <w:pPr>
              <w:spacing w:after="0" w:line="240" w:lineRule="auto"/>
            </w:pPr>
            <w:r>
              <w:rPr>
                <w:b/>
                <w:sz w:val="21"/>
              </w:rPr>
              <w:t>Stage</w:t>
            </w:r>
          </w:p>
        </w:tc>
        <w:tc>
          <w:tcPr>
            <w:tcW w:type="dxa" w:w="7891"/>
            <w:vAlign w:val="center"/>
            <w:tcMar>
              <w:top w:w="65" w:type="dxa"/>
              <w:bottom w:w="65" w:type="dxa"/>
              <w:left w:w="90" w:type="dxa"/>
              <w:right w:w="90" w:type="dxa"/>
            </w:tcMar>
            <w:tcBorders>
              <w:top w:val="single" w:sz="4" w:color="D9D9D9"/>
              <w:left w:val="single" w:sz="4" w:color="D9D9D9"/>
              <w:bottom w:val="single" w:sz="4" w:color="D9D9D9"/>
              <w:right w:val="single" w:sz="4" w:color="D9D9D9"/>
            </w:tcBorders>
            <w:shd w:fill="DDEAF1"/>
          </w:tcPr>
          <w:p>
            <w:pPr>
              <w:spacing w:after="0" w:line="240" w:lineRule="auto"/>
            </w:pPr>
            <w:r>
              <w:rPr>
                <w:b/>
                <w:sz w:val="21"/>
              </w:rPr>
              <w:t>Why it runs and what it does</w:t>
            </w:r>
          </w:p>
        </w:tc>
      </w:tr>
      <w:tr>
        <w:trPr>
          <w:cantSplit/>
        </w:trPr>
        <w:tc>
          <w:tcPr>
            <w:tcW w:type="dxa" w:w="2333"/>
            <w:vAlign w:val="center"/>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0" w:lineRule="auto"/>
            </w:pPr>
            <w:r>
              <w:rPr>
                <w:sz w:val="21"/>
              </w:rPr>
              <w:t>Discover</w:t>
            </w:r>
          </w:p>
        </w:tc>
        <w:tc>
          <w:tcPr>
            <w:tcW w:type="dxa" w:w="7891"/>
            <w:vAlign w:val="center"/>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0" w:lineRule="auto"/>
            </w:pPr>
            <w:r>
              <w:rPr>
                <w:sz w:val="21"/>
              </w:rPr>
              <w:t>Explorer selects a fault schedule. The task agent attempts the order and the Referee checks the result, looking for consequential failures.</w:t>
            </w:r>
          </w:p>
        </w:tc>
      </w:tr>
      <w:tr>
        <w:trPr>
          <w:cantSplit/>
        </w:trPr>
        <w:tc>
          <w:tcPr>
            <w:tcW w:type="dxa" w:w="2333"/>
            <w:vAlign w:val="center"/>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0" w:lineRule="auto"/>
            </w:pPr>
            <w:r>
              <w:rPr>
                <w:sz w:val="21"/>
              </w:rPr>
              <w:t>Reproduce</w:t>
            </w:r>
          </w:p>
        </w:tc>
        <w:tc>
          <w:tcPr>
            <w:tcW w:type="dxa" w:w="7891"/>
            <w:vAlign w:val="center"/>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0" w:lineRule="auto"/>
            </w:pPr>
            <w:r>
              <w:rPr>
                <w:sz w:val="21"/>
              </w:rPr>
              <w:t>Repeats the failure in three fresh worlds to check that it is repeatable.</w:t>
            </w:r>
          </w:p>
        </w:tc>
      </w:tr>
      <w:tr>
        <w:trPr>
          <w:cantSplit/>
        </w:trPr>
        <w:tc>
          <w:tcPr>
            <w:tcW w:type="dxa" w:w="2333"/>
            <w:vAlign w:val="center"/>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0" w:lineRule="auto"/>
            </w:pPr>
            <w:r>
              <w:rPr>
                <w:sz w:val="21"/>
              </w:rPr>
              <w:t>Reduce</w:t>
            </w:r>
          </w:p>
        </w:tc>
        <w:tc>
          <w:tcPr>
            <w:tcW w:type="dxa" w:w="7891"/>
            <w:vAlign w:val="center"/>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0" w:lineRule="auto"/>
            </w:pPr>
            <w:r>
              <w:rPr>
                <w:sz w:val="21"/>
              </w:rPr>
              <w:t>Tries smaller fault schedules; keeps only changes that still fail three times. This makes the failure easier to understand.</w:t>
            </w:r>
          </w:p>
        </w:tc>
      </w:tr>
      <w:tr>
        <w:trPr>
          <w:cantSplit/>
        </w:trPr>
        <w:tc>
          <w:tcPr>
            <w:tcW w:type="dxa" w:w="2333"/>
            <w:vAlign w:val="center"/>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0" w:lineRule="auto"/>
            </w:pPr>
            <w:r>
              <w:rPr>
                <w:sz w:val="21"/>
              </w:rPr>
              <w:t>Diagnose</w:t>
            </w:r>
          </w:p>
        </w:tc>
        <w:tc>
          <w:tcPr>
            <w:tcW w:type="dxa" w:w="7891"/>
            <w:vAlign w:val="center"/>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0" w:lineRule="auto"/>
            </w:pPr>
            <w:r>
              <w:rPr>
                <w:sz w:val="21"/>
              </w:rPr>
              <w:t>Tests explanations with controlled changes, separating a recovery weakness from missing evidence or an inconclusive explanation.</w:t>
            </w:r>
          </w:p>
        </w:tc>
      </w:tr>
      <w:tr>
        <w:trPr>
          <w:cantSplit/>
        </w:trPr>
        <w:tc>
          <w:tcPr>
            <w:tcW w:type="dxa" w:w="2333"/>
            <w:vAlign w:val="center"/>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0" w:lineRule="auto"/>
            </w:pPr>
            <w:r>
              <w:rPr>
                <w:sz w:val="21"/>
              </w:rPr>
              <w:t>Propose</w:t>
            </w:r>
          </w:p>
        </w:tc>
        <w:tc>
          <w:tcPr>
            <w:tcW w:type="dxa" w:w="7891"/>
            <w:vAlign w:val="center"/>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0" w:lineRule="auto"/>
            </w:pPr>
            <w:r>
              <w:rPr>
                <w:sz w:val="21"/>
              </w:rPr>
              <w:t>Mechanic returns a constrained recovery policy or says no change. Its original proposal is saved, not automatically accepted.</w:t>
            </w:r>
          </w:p>
        </w:tc>
      </w:tr>
      <w:tr>
        <w:trPr>
          <w:cantSplit/>
        </w:trPr>
        <w:tc>
          <w:tcPr>
            <w:tcW w:type="dxa" w:w="2333"/>
            <w:vAlign w:val="center"/>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0" w:lineRule="auto"/>
            </w:pPr>
            <w:r>
              <w:rPr>
                <w:sz w:val="21"/>
              </w:rPr>
              <w:t>Challenge</w:t>
            </w:r>
          </w:p>
        </w:tc>
        <w:tc>
          <w:tcPr>
            <w:tcW w:type="dxa" w:w="7891"/>
            <w:vAlign w:val="center"/>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0" w:lineRule="auto"/>
            </w:pPr>
            <w:r>
              <w:rPr>
                <w:sz w:val="21"/>
              </w:rPr>
              <w:t>Attempts to break the candidate on four meaningful schedules with repeated paired runs. A failed candidate can feed another attempt.</w:t>
            </w:r>
          </w:p>
        </w:tc>
      </w:tr>
      <w:tr>
        <w:trPr>
          <w:cantSplit/>
        </w:trPr>
        <w:tc>
          <w:tcPr>
            <w:tcW w:type="dxa" w:w="2333"/>
            <w:vAlign w:val="center"/>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0" w:lineRule="auto"/>
            </w:pPr>
            <w:r>
              <w:rPr>
                <w:sz w:val="21"/>
              </w:rPr>
              <w:t>Promote</w:t>
            </w:r>
          </w:p>
        </w:tc>
        <w:tc>
          <w:tcPr>
            <w:tcW w:type="dxa" w:w="7891"/>
            <w:vAlign w:val="center"/>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0" w:lineRule="auto"/>
            </w:pPr>
            <w:r>
              <w:rPr>
                <w:sz w:val="21"/>
              </w:rPr>
              <w:t>Compares the candidate with the original policy on fixed cases. Acceptance requires sufficient improvement and preserved healthy behavior.</w:t>
            </w:r>
          </w:p>
        </w:tc>
      </w:tr>
      <w:tr>
        <w:trPr>
          <w:cantSplit/>
        </w:trPr>
        <w:tc>
          <w:tcPr>
            <w:tcW w:type="dxa" w:w="2333"/>
            <w:vAlign w:val="center"/>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0" w:lineRule="auto"/>
            </w:pPr>
            <w:r>
              <w:rPr>
                <w:sz w:val="21"/>
              </w:rPr>
              <w:t>Save evidence</w:t>
            </w:r>
          </w:p>
        </w:tc>
        <w:tc>
          <w:tcPr>
            <w:tcW w:type="dxa" w:w="7891"/>
            <w:vAlign w:val="center"/>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0" w:lineRule="auto"/>
            </w:pPr>
            <w:r>
              <w:rPr>
                <w:sz w:val="21"/>
              </w:rPr>
              <w:t>Saves outcomes, policy decisions and any regression tests, and synchronizes eligible evidence with Weave.</w:t>
            </w:r>
          </w:p>
        </w:tc>
      </w:tr>
    </w:tbl>
    <w:p>
      <w:pPr>
        <w:spacing w:after="0"/>
      </w:pPr>
    </w:p>
    <w:p>
      <w:r/>
      <w:r>
        <w:rPr>
          <w:b/>
        </w:rPr>
        <w:t>Frontend.</w:t>
      </w:r>
      <w:r>
        <w:t xml:space="preserve"> Watch </w:t>
      </w:r>
      <w:r>
        <w:rPr>
          <w:b/>
        </w:rPr>
        <w:t>Fault × policy ledger</w:t>
      </w:r>
      <w:r>
        <w:t xml:space="preserve">. Click an episode ID to open its original observations, report and </w:t>
      </w:r>
      <w:r>
        <w:rPr>
          <w:b/>
        </w:rPr>
        <w:t>Fixed Referee verdict</w:t>
      </w:r>
      <w:r>
        <w:t xml:space="preserve"> in </w:t>
      </w:r>
      <w:r>
        <w:rPr>
          <w:b/>
        </w:rPr>
        <w:t>Evidence timeline</w:t>
      </w:r>
      <w:r>
        <w:t xml:space="preserve">. Use </w:t>
      </w:r>
      <w:r>
        <w:rPr>
          <w:b/>
        </w:rPr>
        <w:t>Reproduce &amp; reduce</w:t>
      </w:r>
      <w:r>
        <w:t xml:space="preserve">, </w:t>
      </w:r>
      <w:r>
        <w:rPr>
          <w:b/>
        </w:rPr>
        <w:t>Tested diagnosis</w:t>
      </w:r>
      <w:r>
        <w:t xml:space="preserve"> and </w:t>
      </w:r>
      <w:r>
        <w:rPr>
          <w:b/>
        </w:rPr>
        <w:t>Adversarial challenge</w:t>
      </w:r>
      <w:r>
        <w:t xml:space="preserve"> to inspect the evidence behind a proposal. After selecting an older episode, reload the campaign with </w:t>
      </w:r>
      <w:r>
        <w:rPr>
          <w:b/>
        </w:rPr>
        <w:t>Load recording</w:t>
      </w:r>
      <w:r>
        <w:t xml:space="preserve"> to follow its latest episode again.</w:t>
      </w:r>
    </w:p>
    <w:p>
      <w:r/>
      <w:r>
        <w:rPr>
          <w:b/>
        </w:rPr>
        <w:t>If the state is WAITING_EVIDENCE.</w:t>
      </w:r>
      <w:r>
        <w:t xml:space="preserve"> Use </w:t>
      </w:r>
      <w:r>
        <w:rPr>
          <w:b/>
        </w:rPr>
        <w:t>Retry evidence sync</w:t>
      </w:r>
      <w:r>
        <w:t xml:space="preserve"> for this campaign. It retries saved evidence without repeating completed business calls. Once verified, the already-authorized learning loop may resume and make further model calls. The terminal wait command returns at this state; continue watching the dashboard.</w:t>
      </w:r>
    </w:p>
    <w:p>
      <w:r/>
      <w:r>
        <w:rPr>
          <w:b/>
        </w:rPr>
        <w:t>If you need to stop.</w:t>
      </w:r>
      <w:r>
        <w:t xml:space="preserve"> Load the active campaign and click </w:t>
      </w:r>
      <w:r>
        <w:rPr>
          <w:b/>
        </w:rPr>
        <w:t>Stop</w:t>
      </w:r>
      <w:r>
        <w:t xml:space="preserve">. This prevents new work and preserves evidence. An already-dispatched request may have committed. </w:t>
      </w:r>
      <w:r>
        <w:rPr>
          <w:b/>
        </w:rPr>
        <w:t>Recorded playback</w:t>
      </w:r>
      <w:r>
        <w:t xml:space="preserve"> changes how you view the record; it does not stop a running campaign.</w:t>
      </w:r>
    </w:p>
    <w:p>
      <w:pPr>
        <w:pStyle w:val="Heading1"/>
      </w:pPr>
      <w:r>
        <w:t>5 Read the result and save it</w:t>
      </w:r>
    </w:p>
    <w:p>
      <w:r/>
      <w:r>
        <w:rPr>
          <w:b/>
        </w:rPr>
        <w:t>Do this.</w:t>
      </w:r>
      <w:r>
        <w:t xml:space="preserve"> Wait for the learning attempt to finish, then inspect the state and reason. </w:t>
      </w:r>
      <w:r>
        <w:rPr>
          <w:rFonts w:ascii="Courier New" w:hAnsi="Courier New"/>
          <w:sz w:val="20"/>
        </w:rPr>
        <w:t>COMPLETED</w:t>
      </w:r>
      <w:r>
        <w:t xml:space="preserve"> and </w:t>
      </w:r>
      <w:r>
        <w:rPr>
          <w:rFonts w:ascii="Courier New" w:hAnsi="Courier New"/>
          <w:sz w:val="20"/>
        </w:rPr>
        <w:t>NO_CHANGE</w:t>
      </w:r>
      <w:r>
        <w:t xml:space="preserve"> are final outcomes. Let the terminal wait finish or wait until Create campaign becomes available again. </w:t>
      </w:r>
      <w:r>
        <w:rPr>
          <w:rFonts w:ascii="Courier New" w:hAnsi="Courier New"/>
          <w:sz w:val="20"/>
        </w:rPr>
        <w:t>REJECTED</w:t>
      </w:r>
      <w:r>
        <w:t xml:space="preserve"> and </w:t>
      </w:r>
      <w:r>
        <w:rPr>
          <w:rFonts w:ascii="Courier New" w:hAnsi="Courier New"/>
          <w:sz w:val="20"/>
        </w:rPr>
        <w:t>PROMOTED</w:t>
      </w:r>
      <w:r>
        <w:t xml:space="preserve"> can be intermediate states while work continues. An infrastructure error is a test limitation, not evidence of improvement.</w:t>
      </w:r>
    </w:p>
    <w:p>
      <w:r/>
      <w:r>
        <w:rPr>
          <w:b/>
        </w:rPr>
        <w:t>Why.</w:t>
      </w:r>
      <w:r>
        <w:t xml:space="preserve"> A proposed rule, a passing example and an accepted policy are different outcomes. Saved comparisons establish which outcome you have.</w:t>
      </w:r>
    </w:p>
    <w:p>
      <w:r/>
      <w:r>
        <w:rPr>
          <w:b/>
        </w:rPr>
        <w:t>Backend.</w:t>
      </w:r>
      <w:r>
        <w:t xml:space="preserve"> Keeps every attempt, including rejected candidates and inconclusive results. The active recovery policy changes only after the promotion checks pass.</w:t>
      </w:r>
    </w:p>
    <w:p>
      <w:r/>
      <w:r>
        <w:rPr>
          <w:b/>
        </w:rPr>
        <w:t>Frontend.</w:t>
      </w:r>
      <w:r>
        <w:t xml:space="preserve"> In </w:t>
      </w:r>
      <w:r>
        <w:rPr>
          <w:b/>
        </w:rPr>
        <w:t>Recovery policy → Immutable version</w:t>
      </w:r>
      <w:r>
        <w:t xml:space="preserve">, select the relevant version. If a proposal exists, use </w:t>
      </w:r>
      <w:r>
        <w:rPr>
          <w:b/>
        </w:rPr>
        <w:t>Read original model proposal</w:t>
      </w:r>
      <w:r>
        <w:t xml:space="preserve"> and </w:t>
      </w:r>
      <w:r>
        <w:rPr>
          <w:b/>
        </w:rPr>
        <w:t>Policy content and complete provenance</w:t>
      </w:r>
      <w:r>
        <w:t xml:space="preserve"> to inspect its decision. Under </w:t>
      </w:r>
      <w:r>
        <w:rPr>
          <w:b/>
        </w:rPr>
        <w:t>Sponsor evidence → Weave</w:t>
      </w:r>
      <w:r>
        <w:t xml:space="preserve">, use </w:t>
      </w:r>
      <w:r>
        <w:rPr>
          <w:b/>
        </w:rPr>
        <w:t>Open Weave trace</w:t>
      </w:r>
      <w:r>
        <w:t xml:space="preserve"> for a recorded remote trace. Aria remains pending in this walkthrough.</w:t>
      </w:r>
    </w:p>
    <w:tbl>
      <w:tblPr>
        <w:tblW w:type="auto" w:w="0"/>
        <w:tblLayout w:type="fixed"/>
        <w:tblLook w:firstColumn="1" w:firstRow="1" w:lastColumn="0" w:lastRow="0" w:noHBand="0" w:noVBand="1" w:val="04A0"/>
      </w:tblPr>
      <w:tblGrid>
        <w:gridCol w:w="2333"/>
        <w:gridCol w:w="7891"/>
      </w:tblGrid>
      <w:tr>
        <w:trPr>
          <w:cantSplit/>
          <w:tblHeader/>
        </w:trPr>
        <w:tc>
          <w:tcPr>
            <w:tcW w:type="dxa" w:w="2333"/>
            <w:vAlign w:val="center"/>
            <w:tcMar>
              <w:top w:w="65" w:type="dxa"/>
              <w:bottom w:w="65" w:type="dxa"/>
              <w:left w:w="90" w:type="dxa"/>
              <w:right w:w="90" w:type="dxa"/>
            </w:tcMar>
            <w:tcBorders>
              <w:top w:val="single" w:sz="4" w:color="D9D9D9"/>
              <w:left w:val="single" w:sz="4" w:color="D9D9D9"/>
              <w:bottom w:val="single" w:sz="4" w:color="D9D9D9"/>
              <w:right w:val="single" w:sz="4" w:color="D9D9D9"/>
            </w:tcBorders>
            <w:shd w:fill="DDEAF1"/>
          </w:tcPr>
          <w:p>
            <w:pPr>
              <w:spacing w:after="0" w:line="240" w:lineRule="auto"/>
            </w:pPr>
            <w:r>
              <w:rPr>
                <w:b/>
                <w:sz w:val="21"/>
              </w:rPr>
              <w:t>Result</w:t>
            </w:r>
          </w:p>
        </w:tc>
        <w:tc>
          <w:tcPr>
            <w:tcW w:type="dxa" w:w="7891"/>
            <w:vAlign w:val="center"/>
            <w:tcMar>
              <w:top w:w="65" w:type="dxa"/>
              <w:bottom w:w="65" w:type="dxa"/>
              <w:left w:w="90" w:type="dxa"/>
              <w:right w:w="90" w:type="dxa"/>
            </w:tcMar>
            <w:tcBorders>
              <w:top w:val="single" w:sz="4" w:color="D9D9D9"/>
              <w:left w:val="single" w:sz="4" w:color="D9D9D9"/>
              <w:bottom w:val="single" w:sz="4" w:color="D9D9D9"/>
              <w:right w:val="single" w:sz="4" w:color="D9D9D9"/>
            </w:tcBorders>
            <w:shd w:fill="DDEAF1"/>
          </w:tcPr>
          <w:p>
            <w:pPr>
              <w:spacing w:after="0" w:line="240" w:lineRule="auto"/>
            </w:pPr>
            <w:r>
              <w:rPr>
                <w:b/>
                <w:sz w:val="21"/>
              </w:rPr>
              <w:t>Meaning</w:t>
            </w:r>
          </w:p>
        </w:tc>
      </w:tr>
      <w:tr>
        <w:trPr>
          <w:cantSplit/>
        </w:trPr>
        <w:tc>
          <w:tcPr>
            <w:tcW w:type="dxa" w:w="2333"/>
            <w:vAlign w:val="center"/>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0" w:lineRule="auto"/>
            </w:pPr>
            <w:r>
              <w:rPr>
                <w:sz w:val="21"/>
              </w:rPr>
              <w:t>B0 / B1 / L</w:t>
            </w:r>
          </w:p>
        </w:tc>
        <w:tc>
          <w:tcPr>
            <w:tcW w:type="dxa" w:w="7891"/>
            <w:vAlign w:val="center"/>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0" w:lineRule="auto"/>
            </w:pPr>
            <w:r>
              <w:rPr>
                <w:sz w:val="21"/>
              </w:rPr>
              <w:t>Model with an empty policy / handwritten reference / model with a recovery policy.</w:t>
            </w:r>
          </w:p>
        </w:tc>
      </w:tr>
      <w:tr>
        <w:trPr>
          <w:cantSplit/>
        </w:trPr>
        <w:tc>
          <w:tcPr>
            <w:tcW w:type="dxa" w:w="2333"/>
            <w:vAlign w:val="center"/>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0" w:lineRule="auto"/>
            </w:pPr>
            <w:r>
              <w:rPr>
                <w:sz w:val="21"/>
              </w:rPr>
              <w:t>Completed</w:t>
            </w:r>
          </w:p>
        </w:tc>
        <w:tc>
          <w:tcPr>
            <w:tcW w:type="dxa" w:w="7891"/>
            <w:vAlign w:val="center"/>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0" w:lineRule="auto"/>
            </w:pPr>
            <w:r>
              <w:rPr>
                <w:sz w:val="21"/>
              </w:rPr>
              <w:t>The episode's success claim is supported by the fixed checks.</w:t>
            </w:r>
          </w:p>
        </w:tc>
      </w:tr>
      <w:tr>
        <w:trPr>
          <w:cantSplit/>
        </w:trPr>
        <w:tc>
          <w:tcPr>
            <w:tcW w:type="dxa" w:w="2333"/>
            <w:vAlign w:val="center"/>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0" w:lineRule="auto"/>
            </w:pPr>
            <w:r>
              <w:rPr>
                <w:sz w:val="21"/>
              </w:rPr>
              <w:t>Safe unresolved</w:t>
            </w:r>
          </w:p>
        </w:tc>
        <w:tc>
          <w:tcPr>
            <w:tcW w:type="dxa" w:w="7891"/>
            <w:vAlign w:val="center"/>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0" w:lineRule="auto"/>
            </w:pPr>
            <w:r>
              <w:rPr>
                <w:sz w:val="21"/>
              </w:rPr>
              <w:t>The agent preserved uncertainty instead of claiming unsupported success.</w:t>
            </w:r>
          </w:p>
        </w:tc>
      </w:tr>
      <w:tr>
        <w:trPr>
          <w:cantSplit/>
        </w:trPr>
        <w:tc>
          <w:tcPr>
            <w:tcW w:type="dxa" w:w="2333"/>
            <w:vAlign w:val="center"/>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0" w:lineRule="auto"/>
            </w:pPr>
            <w:r>
              <w:rPr>
                <w:sz w:val="21"/>
              </w:rPr>
              <w:t>Correctly rejected</w:t>
            </w:r>
          </w:p>
        </w:tc>
        <w:tc>
          <w:tcPr>
            <w:tcW w:type="dxa" w:w="7891"/>
            <w:vAlign w:val="center"/>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0" w:lineRule="auto"/>
            </w:pPr>
            <w:r>
              <w:rPr>
                <w:sz w:val="21"/>
              </w:rPr>
              <w:t>A real rejection was reported truthfully.</w:t>
            </w:r>
          </w:p>
        </w:tc>
      </w:tr>
      <w:tr>
        <w:trPr>
          <w:cantSplit/>
        </w:trPr>
        <w:tc>
          <w:tcPr>
            <w:tcW w:type="dxa" w:w="2333"/>
            <w:vAlign w:val="center"/>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0" w:lineRule="auto"/>
            </w:pPr>
            <w:r>
              <w:rPr>
                <w:sz w:val="21"/>
              </w:rPr>
              <w:t>Violation</w:t>
            </w:r>
          </w:p>
        </w:tc>
        <w:tc>
          <w:tcPr>
            <w:tcW w:type="dxa" w:w="7891"/>
            <w:vAlign w:val="center"/>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0" w:lineRule="auto"/>
            </w:pPr>
            <w:r>
              <w:rPr>
                <w:sz w:val="21"/>
              </w:rPr>
              <w:t>At least one fixed check failed.</w:t>
            </w:r>
          </w:p>
        </w:tc>
      </w:tr>
      <w:tr>
        <w:trPr>
          <w:cantSplit/>
        </w:trPr>
        <w:tc>
          <w:tcPr>
            <w:tcW w:type="dxa" w:w="2333"/>
            <w:vAlign w:val="center"/>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0" w:lineRule="auto"/>
            </w:pPr>
            <w:r>
              <w:rPr>
                <w:sz w:val="21"/>
              </w:rPr>
              <w:t>Lab error / Interrupted</w:t>
            </w:r>
          </w:p>
        </w:tc>
        <w:tc>
          <w:tcPr>
            <w:tcW w:type="dxa" w:w="7891"/>
            <w:vAlign w:val="center"/>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0" w:lineRule="auto"/>
            </w:pPr>
            <w:r>
              <w:rPr>
                <w:sz w:val="21"/>
              </w:rPr>
              <w:t>Infrastructure failed / execution stopped. Neither establishes a successful repair.</w:t>
            </w:r>
          </w:p>
        </w:tc>
      </w:tr>
      <w:tr>
        <w:trPr>
          <w:cantSplit/>
        </w:trPr>
        <w:tc>
          <w:tcPr>
            <w:tcW w:type="dxa" w:w="2333"/>
            <w:vAlign w:val="center"/>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0" w:lineRule="auto"/>
            </w:pPr>
            <w:r>
              <w:rPr>
                <w:sz w:val="21"/>
              </w:rPr>
              <w:t>NO_CHANGE</w:t>
            </w:r>
          </w:p>
        </w:tc>
        <w:tc>
          <w:tcPr>
            <w:tcW w:type="dxa" w:w="7891"/>
            <w:vAlign w:val="center"/>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0" w:lineRule="auto"/>
            </w:pPr>
            <w:r>
              <w:rPr>
                <w:sz w:val="21"/>
              </w:rPr>
              <w:t>The learning campaign did not promote a policy.</w:t>
            </w:r>
          </w:p>
        </w:tc>
      </w:tr>
    </w:tbl>
    <w:p>
      <w:pPr>
        <w:spacing w:after="0"/>
      </w:pPr>
    </w:p>
    <w:p>
      <w:r/>
      <w:r>
        <w:rPr>
          <w:b/>
        </w:rPr>
        <w:t>Save the campaign.</w:t>
      </w:r>
      <w:r>
        <w:t xml:space="preserve"> Replace </w:t>
      </w:r>
      <w:r>
        <w:rPr>
          <w:rFonts w:ascii="Courier New" w:hAnsi="Courier New"/>
          <w:sz w:val="20"/>
        </w:rPr>
        <w:t>CAMPAIGN_ID</w:t>
      </w:r>
      <w:r>
        <w:t xml:space="preserve"> and choose a new output filename:</w:t>
      </w:r>
    </w:p>
    <w:p>
      <w:pPr>
        <w:keepNext/>
        <w:spacing w:after="20"/>
        <w:ind w:left="216"/>
      </w:pPr>
      <w:r>
        <w:rPr>
          <w:rFonts w:ascii="Courier New" w:hAnsi="Courier New"/>
          <w:sz w:val="20"/>
        </w:rPr>
        <w:t>./scripts/export-evidence.sh --campaign CAMPAIGN_ID \</w:t>
      </w:r>
    </w:p>
    <w:p>
      <w:pPr>
        <w:keepNext w:val="0"/>
        <w:spacing w:after="20"/>
        <w:ind w:left="216"/>
      </w:pPr>
      <w:r>
        <w:rPr>
          <w:rFonts w:ascii="Courier New" w:hAnsi="Courier New"/>
          <w:sz w:val="20"/>
        </w:rPr>
        <w:t>--output artifacts/my-live-evidence.json</w:t>
      </w:r>
    </w:p>
    <w:p>
      <w:r>
        <w:t xml:space="preserve">The backend reads saved records into JSON; the frontend continues displaying the same campaign. Export, reload and playback make no new model calls. If a regression exists, </w:t>
      </w:r>
      <w:r>
        <w:rPr>
          <w:b/>
        </w:rPr>
        <w:t>Portable regression → Saved regression → Inspect saved bundle</w:t>
      </w:r>
      <w:r>
        <w:t xml:space="preserve"> opens it; </w:t>
      </w:r>
      <w:r>
        <w:rPr>
          <w:b/>
        </w:rPr>
        <w:t>Download regression</w:t>
      </w:r>
      <w:r>
        <w:t xml:space="preserve"> saves its ZIP. </w:t>
      </w:r>
      <w:r>
        <w:rPr>
          <w:b/>
        </w:rPr>
        <w:t>Run fresh regression</w:t>
      </w:r>
      <w:r>
        <w:t xml:space="preserve"> is a separate execution action.</w:t>
      </w:r>
    </w:p>
    <w:p>
      <w:pPr>
        <w:pStyle w:val="Heading1"/>
      </w:pPr>
      <w:r>
        <w:t>After the first run</w:t>
      </w:r>
    </w:p>
    <w:p>
      <w:r>
        <w:t xml:space="preserve">The walkthrough covers one learning campaign with Inference and Weave. Broader validation is tracked in the sibling </w:t>
      </w:r>
      <w:r>
        <w:rPr>
          <w:rFonts w:ascii="Courier New" w:hAnsi="Courier New"/>
          <w:sz w:val="20"/>
        </w:rPr>
        <w:t>FaultLab_Specs/specs/001-faultlab-loop/tasks.md</w:t>
      </w:r>
      <w:r>
        <w:t>:</w:t>
      </w:r>
    </w:p>
    <w:tbl>
      <w:tblPr>
        <w:tblW w:type="auto" w:w="0"/>
        <w:tblLayout w:type="fixed"/>
        <w:tblLook w:firstColumn="1" w:firstRow="1" w:lastColumn="0" w:lastRow="0" w:noHBand="0" w:noVBand="1" w:val="04A0"/>
      </w:tblPr>
      <w:tblGrid>
        <w:gridCol w:w="2333"/>
        <w:gridCol w:w="7891"/>
      </w:tblGrid>
      <w:tr>
        <w:trPr>
          <w:cantSplit/>
          <w:tblHeader/>
        </w:trPr>
        <w:tc>
          <w:tcPr>
            <w:tcW w:type="dxa" w:w="2333"/>
            <w:vAlign w:val="center"/>
            <w:tcMar>
              <w:top w:w="65" w:type="dxa"/>
              <w:bottom w:w="65" w:type="dxa"/>
              <w:left w:w="90" w:type="dxa"/>
              <w:right w:w="90" w:type="dxa"/>
            </w:tcMar>
            <w:tcBorders>
              <w:top w:val="single" w:sz="4" w:color="D9D9D9"/>
              <w:left w:val="single" w:sz="4" w:color="D9D9D9"/>
              <w:bottom w:val="single" w:sz="4" w:color="D9D9D9"/>
              <w:right w:val="single" w:sz="4" w:color="D9D9D9"/>
            </w:tcBorders>
            <w:shd w:fill="DDEAF1"/>
          </w:tcPr>
          <w:p>
            <w:pPr>
              <w:spacing w:after="0" w:line="240" w:lineRule="auto"/>
            </w:pPr>
            <w:r>
              <w:rPr>
                <w:b/>
                <w:sz w:val="21"/>
              </w:rPr>
              <w:t>Task</w:t>
            </w:r>
          </w:p>
        </w:tc>
        <w:tc>
          <w:tcPr>
            <w:tcW w:type="dxa" w:w="7891"/>
            <w:vAlign w:val="center"/>
            <w:tcMar>
              <w:top w:w="65" w:type="dxa"/>
              <w:bottom w:w="65" w:type="dxa"/>
              <w:left w:w="90" w:type="dxa"/>
              <w:right w:w="90" w:type="dxa"/>
            </w:tcMar>
            <w:tcBorders>
              <w:top w:val="single" w:sz="4" w:color="D9D9D9"/>
              <w:left w:val="single" w:sz="4" w:color="D9D9D9"/>
              <w:bottom w:val="single" w:sz="4" w:color="D9D9D9"/>
              <w:right w:val="single" w:sz="4" w:color="D9D9D9"/>
            </w:tcBorders>
            <w:shd w:fill="DDEAF1"/>
          </w:tcPr>
          <w:p>
            <w:pPr>
              <w:spacing w:after="0" w:line="240" w:lineRule="auto"/>
            </w:pPr>
            <w:r>
              <w:rPr>
                <w:b/>
                <w:sz w:val="21"/>
              </w:rPr>
              <w:t>Required evidence</w:t>
            </w:r>
          </w:p>
        </w:tc>
      </w:tr>
      <w:tr>
        <w:trPr>
          <w:cantSplit/>
        </w:trPr>
        <w:tc>
          <w:tcPr>
            <w:tcW w:type="dxa" w:w="2333"/>
            <w:vAlign w:val="center"/>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0" w:lineRule="auto"/>
            </w:pPr>
            <w:r>
              <w:rPr>
                <w:sz w:val="21"/>
              </w:rPr>
              <w:t>T039 baseline study done</w:t>
            </w:r>
          </w:p>
        </w:tc>
        <w:tc>
          <w:tcPr>
            <w:tcW w:type="dxa" w:w="7891"/>
            <w:vAlign w:val="center"/>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0" w:lineRule="auto"/>
            </w:pPr>
            <w:r>
              <w:rPr>
                <w:sz w:val="21"/>
              </w:rPr>
              <w:t>All 36 B0/B1 trials completed with Llama; the fixed scores were verified in Weave. DeepSeek is now the selected model.</w:t>
            </w:r>
          </w:p>
        </w:tc>
      </w:tr>
      <w:tr>
        <w:trPr>
          <w:cantSplit/>
        </w:trPr>
        <w:tc>
          <w:tcPr>
            <w:tcW w:type="dxa" w:w="2333"/>
            <w:vAlign w:val="center"/>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0" w:lineRule="auto"/>
            </w:pPr>
            <w:r>
              <w:rPr>
                <w:sz w:val="21"/>
              </w:rPr>
              <w:t>T065 learning</w:t>
            </w:r>
          </w:p>
        </w:tc>
        <w:tc>
          <w:tcPr>
            <w:tcW w:type="dxa" w:w="7891"/>
            <w:vAlign w:val="center"/>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0" w:lineRule="auto"/>
            </w:pPr>
            <w:r>
              <w:rPr>
                <w:sz w:val="21"/>
              </w:rPr>
              <w:t>Repeated failure, tested diagnosis, generated repair, challenge and promotion evidence. Improvement must be measured.</w:t>
            </w:r>
          </w:p>
        </w:tc>
      </w:tr>
      <w:tr>
        <w:trPr>
          <w:cantSplit/>
        </w:trPr>
        <w:tc>
          <w:tcPr>
            <w:tcW w:type="dxa" w:w="2333"/>
            <w:vAlign w:val="center"/>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0" w:lineRule="auto"/>
            </w:pPr>
            <w:r>
              <w:rPr>
                <w:sz w:val="21"/>
              </w:rPr>
              <w:t>T088 sponsors</w:t>
            </w:r>
          </w:p>
        </w:tc>
        <w:tc>
          <w:tcPr>
            <w:tcW w:type="dxa" w:w="7891"/>
            <w:vAlign w:val="center"/>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0" w:lineRule="auto"/>
            </w:pPr>
            <w:r>
              <w:rPr>
                <w:sz w:val="21"/>
              </w:rPr>
              <w:t>Real Inference, Weave evaluation/dataset and automatic Aria analysis. Aria is deferred.</w:t>
            </w:r>
          </w:p>
        </w:tc>
      </w:tr>
      <w:tr>
        <w:trPr>
          <w:cantSplit/>
        </w:trPr>
        <w:tc>
          <w:tcPr>
            <w:tcW w:type="dxa" w:w="2333"/>
            <w:vAlign w:val="center"/>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0" w:lineRule="auto"/>
            </w:pPr>
            <w:r>
              <w:rPr>
                <w:sz w:val="21"/>
              </w:rPr>
              <w:t>T097 freeze</w:t>
            </w:r>
          </w:p>
        </w:tc>
        <w:tc>
          <w:tcPr>
            <w:tcW w:type="dxa" w:w="7891"/>
            <w:vAlign w:val="center"/>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0" w:lineRule="auto"/>
            </w:pPr>
            <w:r>
              <w:rPr>
                <w:sz w:val="21"/>
              </w:rPr>
              <w:t>Save the accepted policy and exact configuration before protected studies. Requires an accepted learned policy.</w:t>
            </w:r>
          </w:p>
        </w:tc>
      </w:tr>
      <w:tr>
        <w:trPr>
          <w:cantSplit/>
        </w:trPr>
        <w:tc>
          <w:tcPr>
            <w:tcW w:type="dxa" w:w="2333"/>
            <w:vAlign w:val="center"/>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0" w:lineRule="auto"/>
            </w:pPr>
            <w:r>
              <w:rPr>
                <w:sz w:val="21"/>
              </w:rPr>
              <w:t>T100 external studies</w:t>
            </w:r>
          </w:p>
        </w:tc>
        <w:tc>
          <w:tcPr>
            <w:tcW w:type="dxa" w:w="7891"/>
            <w:vAlign w:val="center"/>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0" w:lineRule="auto"/>
            </w:pPr>
            <w:r>
              <w:rPr>
                <w:sz w:val="21"/>
              </w:rPr>
              <w:t>Run exported failures on the independent agent; measure transfer and equal-budget fault selection.</w:t>
            </w:r>
          </w:p>
        </w:tc>
      </w:tr>
      <w:tr>
        <w:trPr>
          <w:cantSplit/>
        </w:trPr>
        <w:tc>
          <w:tcPr>
            <w:tcW w:type="dxa" w:w="2333"/>
            <w:vAlign w:val="center"/>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0" w:lineRule="auto"/>
            </w:pPr>
            <w:r>
              <w:rPr>
                <w:sz w:val="21"/>
              </w:rPr>
              <w:t>T102 final audit</w:t>
            </w:r>
          </w:p>
        </w:tc>
        <w:tc>
          <w:tcPr>
            <w:tcW w:type="dxa" w:w="7891"/>
            <w:vAlign w:val="center"/>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0" w:lineRule="auto"/>
            </w:pPr>
            <w:r>
              <w:rPr>
                <w:sz w:val="21"/>
              </w:rPr>
              <w:t>Run the sealed 72-episode comparison and retain all results. Do not tune the policy from audit results.</w:t>
            </w:r>
          </w:p>
        </w:tc>
      </w:tr>
    </w:tbl>
    <w:p>
      <w:pPr>
        <w:spacing w:after="0"/>
      </w:pPr>
    </w:p>
    <w:p>
      <w:r/>
      <w:r>
        <w:rPr>
          <w:b/>
        </w:rPr>
        <w:t>Verified here.</w:t>
      </w:r>
      <w:r>
        <w:t xml:space="preserve"> V4 Pro completed the healthy order with all eight checks passing. The final learning attempt made 44 model calls without provider errors; all eight traces were verified in Weave. It found no fixed-rule failure, so it finished </w:t>
      </w:r>
      <w:r>
        <w:rPr>
          <w:rFonts w:ascii="Courier New" w:hAnsi="Courier New"/>
          <w:sz w:val="20"/>
        </w:rPr>
        <w:t>NO_CHANGE</w:t>
      </w:r>
      <w:r>
        <w:t xml:space="preserve">. Automatic repair, challenge and promotion remain unverified live. See </w:t>
      </w:r>
      <w:r>
        <w:rPr>
          <w:rFonts w:ascii="Courier New" w:hAnsi="Courier New"/>
          <w:sz w:val="20"/>
        </w:rPr>
        <w:t>docs/learning-results.md</w:t>
      </w:r>
      <w:r>
        <w:t xml:space="preserve"> and </w:t>
      </w:r>
      <w:r>
        <w:rPr>
          <w:rFonts w:ascii="Courier New" w:hAnsi="Courier New"/>
          <w:sz w:val="20"/>
        </w:rPr>
        <w:t>docs/sponsor-results.md</w:t>
      </w:r>
      <w:r>
        <w:t xml:space="preserve"> for the evidence. Additional studies have separate campaign budgets. Stop service terminals with Ctrl+C when finished; local history remains saved.</w:t>
      </w:r>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sz w:val="18"/>
      </w:rPr>
      <w:t xml:space="preserve">FaultLab quick start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spacing w:after="120" w:line="25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80" w:line="254" w:lineRule="auto"/>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254" w:lineRule="auto"/>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Lines/>
      <w:spacing w:after="120" w:line="254"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FaultLab quick start guide</dc:title>
  <dc:subject>How to use the local dashboard and run live validation</dc:subject>
  <dc:creator>Gatekeeper</dc:creator>
  <cp:keywords>FaultLab usage guide</cp:keywords>
  <dc:description>generated by python-docx</dc:description>
  <cp:lastModifiedBy/>
  <cp:revision>1</cp:revision>
  <dcterms:created xsi:type="dcterms:W3CDTF">2013-12-23T23:15:00Z</dcterms:created>
  <dcterms:modified xsi:type="dcterms:W3CDTF">2013-12-23T23:15:00Z</dcterms:modified>
  <cp:category/>
</cp:coreProperties>
</file>