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54F2" w14:textId="77777777" w:rsidR="008A7D41" w:rsidRPr="008A7D41" w:rsidRDefault="008A7D41" w:rsidP="008A7D41">
      <w:r w:rsidRPr="008A7D41">
        <w:rPr>
          <w:b/>
          <w:bCs/>
        </w:rPr>
        <w:t>RQ1:</w:t>
      </w:r>
      <w:r w:rsidRPr="008A7D41">
        <w:t xml:space="preserve"> To what extent do machine-learning models improve the identification and prioritization of potential drug–adverse-event safety signals in FAERS compared with traditional disproportionality-based pharmacovigilance methods?</w:t>
      </w:r>
    </w:p>
    <w:p w14:paraId="3EA3A9C5" w14:textId="0D9C7FF2" w:rsidR="008A7D41" w:rsidRDefault="008A7D41" w:rsidP="008A7D41">
      <w:r w:rsidRPr="008A7D41">
        <w:rPr>
          <w:b/>
          <w:bCs/>
        </w:rPr>
        <w:t>RQ2:</w:t>
      </w:r>
      <w:r w:rsidRPr="008A7D41">
        <w:t xml:space="preserve"> How do logistic regression, random forest, and gradient-boosting models compare with ROR, PRR, and IC in terms of precision, recall, F1-score, AUROC, PR-AUC, and </w:t>
      </w:r>
      <w:r w:rsidR="00457740">
        <w:t>top – K r</w:t>
      </w:r>
      <w:r w:rsidRPr="008A7D41">
        <w:t>anking performance for potential drug–adverse-event safety signals?</w:t>
      </w:r>
    </w:p>
    <w:p w14:paraId="3A227636" w14:textId="2B8498AE" w:rsidR="008A7D41" w:rsidRPr="00077320" w:rsidRDefault="008A7D41" w:rsidP="008A7D41">
      <w:pPr>
        <w:rPr>
          <w:b/>
          <w:bCs/>
        </w:rPr>
      </w:pPr>
      <w:r w:rsidRPr="008A7D41">
        <w:rPr>
          <w:b/>
          <w:bCs/>
        </w:rPr>
        <w:t>Research papers:</w:t>
      </w:r>
    </w:p>
    <w:tbl>
      <w:tblPr>
        <w:tblW w:w="17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534"/>
        <w:gridCol w:w="534"/>
        <w:gridCol w:w="2260"/>
        <w:gridCol w:w="12488"/>
      </w:tblGrid>
      <w:tr w:rsidR="008A7D41" w:rsidRPr="008A7D41" w14:paraId="5E5D426C" w14:textId="65C63EC9" w:rsidTr="00077320">
        <w:trPr>
          <w:tblHeader/>
          <w:tblCellSpacing w:w="15" w:type="dxa"/>
        </w:trPr>
        <w:tc>
          <w:tcPr>
            <w:tcW w:w="1245" w:type="dxa"/>
            <w:vAlign w:val="center"/>
            <w:hideMark/>
          </w:tcPr>
          <w:p w14:paraId="21321C82" w14:textId="77777777" w:rsidR="008A7D41" w:rsidRPr="008A7D41" w:rsidRDefault="008A7D41" w:rsidP="008A7D41">
            <w:pPr>
              <w:rPr>
                <w:b/>
                <w:bCs/>
              </w:rPr>
            </w:pPr>
            <w:r w:rsidRPr="008A7D41">
              <w:rPr>
                <w:b/>
                <w:bCs/>
              </w:rPr>
              <w:t>Paper</w:t>
            </w:r>
          </w:p>
        </w:tc>
        <w:tc>
          <w:tcPr>
            <w:tcW w:w="504" w:type="dxa"/>
            <w:vAlign w:val="center"/>
            <w:hideMark/>
          </w:tcPr>
          <w:p w14:paraId="1A7C78C0" w14:textId="77777777" w:rsidR="008A7D41" w:rsidRPr="008A7D41" w:rsidRDefault="008A7D41" w:rsidP="008A7D41">
            <w:pPr>
              <w:rPr>
                <w:b/>
                <w:bCs/>
              </w:rPr>
            </w:pPr>
            <w:r w:rsidRPr="008A7D41">
              <w:rPr>
                <w:b/>
                <w:bCs/>
              </w:rPr>
              <w:t>RQ1</w:t>
            </w:r>
          </w:p>
        </w:tc>
        <w:tc>
          <w:tcPr>
            <w:tcW w:w="504" w:type="dxa"/>
            <w:vAlign w:val="center"/>
            <w:hideMark/>
          </w:tcPr>
          <w:p w14:paraId="34312934" w14:textId="77777777" w:rsidR="008A7D41" w:rsidRPr="008A7D41" w:rsidRDefault="008A7D41" w:rsidP="008A7D41">
            <w:pPr>
              <w:rPr>
                <w:b/>
                <w:bCs/>
              </w:rPr>
            </w:pPr>
            <w:r w:rsidRPr="008A7D41">
              <w:rPr>
                <w:b/>
                <w:bCs/>
              </w:rPr>
              <w:t>RQ2</w:t>
            </w:r>
          </w:p>
        </w:tc>
        <w:tc>
          <w:tcPr>
            <w:tcW w:w="2230" w:type="dxa"/>
            <w:vAlign w:val="center"/>
            <w:hideMark/>
          </w:tcPr>
          <w:p w14:paraId="5D06865B" w14:textId="77777777" w:rsidR="008A7D41" w:rsidRPr="008A7D41" w:rsidRDefault="008A7D41" w:rsidP="008A7D41">
            <w:pPr>
              <w:rPr>
                <w:b/>
                <w:bCs/>
              </w:rPr>
            </w:pPr>
            <w:r w:rsidRPr="008A7D41">
              <w:rPr>
                <w:b/>
                <w:bCs/>
              </w:rPr>
              <w:t xml:space="preserve">Main use in </w:t>
            </w:r>
            <w:proofErr w:type="spellStart"/>
            <w:r w:rsidRPr="008A7D41">
              <w:rPr>
                <w:b/>
                <w:bCs/>
              </w:rPr>
              <w:t>PharmaAI</w:t>
            </w:r>
            <w:proofErr w:type="spellEnd"/>
          </w:p>
        </w:tc>
        <w:tc>
          <w:tcPr>
            <w:tcW w:w="12443" w:type="dxa"/>
          </w:tcPr>
          <w:p w14:paraId="0163933E" w14:textId="69B1D10C" w:rsidR="008A7D41" w:rsidRPr="008A7D41" w:rsidRDefault="008A7D41" w:rsidP="008A7D41">
            <w:pPr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8A7D41" w:rsidRPr="008A7D41" w14:paraId="00E5644D" w14:textId="64146C6A" w:rsidTr="00077320">
        <w:trPr>
          <w:tblCellSpacing w:w="15" w:type="dxa"/>
        </w:trPr>
        <w:tc>
          <w:tcPr>
            <w:tcW w:w="1245" w:type="dxa"/>
            <w:vAlign w:val="center"/>
            <w:hideMark/>
          </w:tcPr>
          <w:p w14:paraId="3ACA229E" w14:textId="77777777" w:rsidR="008A7D41" w:rsidRPr="008A7D41" w:rsidRDefault="008A7D41" w:rsidP="008A7D41">
            <w:r w:rsidRPr="008A7D41">
              <w:rPr>
                <w:b/>
                <w:bCs/>
              </w:rPr>
              <w:t>Warner et al., 2025</w:t>
            </w:r>
          </w:p>
        </w:tc>
        <w:tc>
          <w:tcPr>
            <w:tcW w:w="504" w:type="dxa"/>
            <w:vAlign w:val="center"/>
            <w:hideMark/>
          </w:tcPr>
          <w:p w14:paraId="779EEB20" w14:textId="77777777" w:rsidR="008A7D41" w:rsidRPr="008A7D41" w:rsidRDefault="008A7D41" w:rsidP="008A7D41">
            <w:r w:rsidRPr="008A7D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" w:type="dxa"/>
            <w:vAlign w:val="center"/>
            <w:hideMark/>
          </w:tcPr>
          <w:p w14:paraId="26AF21C3" w14:textId="77777777" w:rsidR="008A7D41" w:rsidRPr="008A7D41" w:rsidRDefault="008A7D41" w:rsidP="008A7D41">
            <w:r w:rsidRPr="008A7D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230" w:type="dxa"/>
            <w:vAlign w:val="center"/>
            <w:hideMark/>
          </w:tcPr>
          <w:p w14:paraId="27AF087D" w14:textId="77777777" w:rsidR="008A7D41" w:rsidRPr="008A7D41" w:rsidRDefault="008A7D41" w:rsidP="008A7D41">
            <w:r w:rsidRPr="008A7D41">
              <w:t>Main literature foundation</w:t>
            </w:r>
          </w:p>
        </w:tc>
        <w:tc>
          <w:tcPr>
            <w:tcW w:w="12443" w:type="dxa"/>
          </w:tcPr>
          <w:p w14:paraId="7E9015DE" w14:textId="6CAD56D4" w:rsidR="008A7D41" w:rsidRPr="008A7D41" w:rsidRDefault="00077320" w:rsidP="008A7D41">
            <w:hyperlink r:id="rId5" w:history="1">
              <w:r w:rsidRPr="00077320">
                <w:rPr>
                  <w:rStyle w:val="Hyperlink"/>
                </w:rPr>
                <w:t>https://link</w:t>
              </w:r>
              <w:r w:rsidRPr="00077320">
                <w:rPr>
                  <w:rStyle w:val="Hyperlink"/>
                </w:rPr>
                <w:t>.</w:t>
              </w:r>
              <w:r w:rsidRPr="00077320">
                <w:rPr>
                  <w:rStyle w:val="Hyperlink"/>
                </w:rPr>
                <w:t>springer.com/article/10.1007/</w:t>
              </w:r>
              <w:r w:rsidRPr="00077320">
                <w:rPr>
                  <w:rStyle w:val="Hyperlink"/>
                </w:rPr>
                <w:br/>
              </w:r>
              <w:r w:rsidRPr="00077320">
                <w:rPr>
                  <w:rStyle w:val="Hyperlink"/>
                </w:rPr>
                <w:t>s40290-025-00561-2?</w:t>
              </w:r>
              <w:r w:rsidRPr="00077320">
                <w:rPr>
                  <w:rStyle w:val="Hyperlink"/>
                </w:rPr>
                <w:t xml:space="preserve">  </w:t>
              </w:r>
            </w:hyperlink>
            <w:r>
              <w:t xml:space="preserve"> </w:t>
            </w:r>
          </w:p>
        </w:tc>
      </w:tr>
      <w:tr w:rsidR="008A7D41" w:rsidRPr="008A7D41" w14:paraId="44A29492" w14:textId="78A3D883" w:rsidTr="00077320">
        <w:trPr>
          <w:tblCellSpacing w:w="15" w:type="dxa"/>
        </w:trPr>
        <w:tc>
          <w:tcPr>
            <w:tcW w:w="1245" w:type="dxa"/>
            <w:vAlign w:val="center"/>
            <w:hideMark/>
          </w:tcPr>
          <w:p w14:paraId="7B459CFC" w14:textId="77777777" w:rsidR="008A7D41" w:rsidRPr="008A7D41" w:rsidRDefault="008A7D41" w:rsidP="008A7D41">
            <w:r w:rsidRPr="008A7D41">
              <w:rPr>
                <w:b/>
                <w:bCs/>
              </w:rPr>
              <w:t>Cao et al., 2025</w:t>
            </w:r>
          </w:p>
        </w:tc>
        <w:tc>
          <w:tcPr>
            <w:tcW w:w="504" w:type="dxa"/>
            <w:vAlign w:val="center"/>
            <w:hideMark/>
          </w:tcPr>
          <w:p w14:paraId="38A46689" w14:textId="77777777" w:rsidR="008A7D41" w:rsidRPr="008A7D41" w:rsidRDefault="008A7D41" w:rsidP="008A7D41">
            <w:r w:rsidRPr="008A7D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" w:type="dxa"/>
            <w:vAlign w:val="center"/>
            <w:hideMark/>
          </w:tcPr>
          <w:p w14:paraId="15FE65DF" w14:textId="77777777" w:rsidR="008A7D41" w:rsidRPr="008A7D41" w:rsidRDefault="008A7D41" w:rsidP="008A7D41">
            <w:r w:rsidRPr="008A7D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230" w:type="dxa"/>
            <w:vAlign w:val="center"/>
            <w:hideMark/>
          </w:tcPr>
          <w:p w14:paraId="5B96D628" w14:textId="77777777" w:rsidR="008A7D41" w:rsidRPr="008A7D41" w:rsidRDefault="008A7D41" w:rsidP="008A7D41">
            <w:r w:rsidRPr="008A7D41">
              <w:t>Direct ML/traditional comparison</w:t>
            </w:r>
          </w:p>
        </w:tc>
        <w:tc>
          <w:tcPr>
            <w:tcW w:w="12443" w:type="dxa"/>
          </w:tcPr>
          <w:p w14:paraId="40B604F6" w14:textId="5A526152" w:rsidR="008A7D41" w:rsidRPr="008A7D41" w:rsidRDefault="00077320" w:rsidP="008A7D41">
            <w:hyperlink r:id="rId6" w:history="1">
              <w:r w:rsidRPr="00A2531C">
                <w:rPr>
                  <w:rStyle w:val="Hyperlink"/>
                </w:rPr>
                <w:t>https://www.frontiersin.org/journals/pharmacology/</w:t>
              </w:r>
              <w:r w:rsidRPr="00A2531C">
                <w:rPr>
                  <w:rStyle w:val="Hyperlink"/>
                </w:rPr>
                <w:br/>
              </w:r>
              <w:r w:rsidRPr="00A2531C">
                <w:rPr>
                  <w:rStyle w:val="Hyperlink"/>
                </w:rPr>
                <w:t>articles/10.3389/fphar.2025.1554650</w:t>
              </w:r>
            </w:hyperlink>
            <w:r>
              <w:t xml:space="preserve"> </w:t>
            </w:r>
          </w:p>
        </w:tc>
      </w:tr>
      <w:tr w:rsidR="008A7D41" w:rsidRPr="008A7D41" w14:paraId="584AA933" w14:textId="21E93673" w:rsidTr="00077320">
        <w:trPr>
          <w:tblCellSpacing w:w="15" w:type="dxa"/>
        </w:trPr>
        <w:tc>
          <w:tcPr>
            <w:tcW w:w="1245" w:type="dxa"/>
            <w:vAlign w:val="center"/>
            <w:hideMark/>
          </w:tcPr>
          <w:p w14:paraId="2C2A8F4A" w14:textId="7FA697DB" w:rsidR="008A7D41" w:rsidRPr="008A7D41" w:rsidRDefault="00077320" w:rsidP="008A7D41">
            <w:r>
              <w:rPr>
                <w:b/>
                <w:bCs/>
              </w:rPr>
              <w:t xml:space="preserve"> </w:t>
            </w:r>
            <w:proofErr w:type="spellStart"/>
            <w:r w:rsidR="008A7D41" w:rsidRPr="008A7D41">
              <w:rPr>
                <w:b/>
                <w:bCs/>
              </w:rPr>
              <w:t>Lifitegrast</w:t>
            </w:r>
            <w:proofErr w:type="spellEnd"/>
            <w:r w:rsidR="008A7D41" w:rsidRPr="008A7D41">
              <w:rPr>
                <w:b/>
                <w:bCs/>
              </w:rPr>
              <w:t>, 2025</w:t>
            </w:r>
          </w:p>
        </w:tc>
        <w:tc>
          <w:tcPr>
            <w:tcW w:w="504" w:type="dxa"/>
            <w:vAlign w:val="center"/>
            <w:hideMark/>
          </w:tcPr>
          <w:p w14:paraId="77C7D316" w14:textId="77777777" w:rsidR="008A7D41" w:rsidRPr="008A7D41" w:rsidRDefault="008A7D41" w:rsidP="008A7D41">
            <w:r w:rsidRPr="008A7D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" w:type="dxa"/>
            <w:vAlign w:val="center"/>
            <w:hideMark/>
          </w:tcPr>
          <w:p w14:paraId="47F9DE97" w14:textId="77777777" w:rsidR="008A7D41" w:rsidRPr="008A7D41" w:rsidRDefault="008A7D41" w:rsidP="008A7D41">
            <w:r w:rsidRPr="008A7D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230" w:type="dxa"/>
            <w:vAlign w:val="center"/>
            <w:hideMark/>
          </w:tcPr>
          <w:p w14:paraId="57DD1A66" w14:textId="77777777" w:rsidR="008A7D41" w:rsidRPr="008A7D41" w:rsidRDefault="008A7D41" w:rsidP="008A7D41">
            <w:r w:rsidRPr="008A7D41">
              <w:t>ROR/PRR/IC methodology</w:t>
            </w:r>
          </w:p>
        </w:tc>
        <w:tc>
          <w:tcPr>
            <w:tcW w:w="12443" w:type="dxa"/>
          </w:tcPr>
          <w:p w14:paraId="0ADA8E88" w14:textId="1FEC12D1" w:rsidR="008A7D41" w:rsidRPr="008A7D41" w:rsidRDefault="00077320" w:rsidP="008A7D41">
            <w:hyperlink r:id="rId7" w:history="1">
              <w:r w:rsidRPr="00A2531C">
                <w:rPr>
                  <w:rStyle w:val="Hyperlink"/>
                </w:rPr>
                <w:t>https://www.nature.com/articles/s41746-025-02173-1</w:t>
              </w:r>
            </w:hyperlink>
            <w:r>
              <w:t xml:space="preserve"> </w:t>
            </w:r>
          </w:p>
        </w:tc>
      </w:tr>
      <w:tr w:rsidR="008A7D41" w:rsidRPr="008A7D41" w14:paraId="5CA6CCA7" w14:textId="7D9AA615" w:rsidTr="00077320">
        <w:trPr>
          <w:tblCellSpacing w:w="15" w:type="dxa"/>
        </w:trPr>
        <w:tc>
          <w:tcPr>
            <w:tcW w:w="1245" w:type="dxa"/>
            <w:vAlign w:val="center"/>
            <w:hideMark/>
          </w:tcPr>
          <w:p w14:paraId="4349E3D1" w14:textId="77777777" w:rsidR="008A7D41" w:rsidRPr="008A7D41" w:rsidRDefault="008A7D41" w:rsidP="008A7D41">
            <w:r w:rsidRPr="008A7D41">
              <w:rPr>
                <w:b/>
                <w:bCs/>
              </w:rPr>
              <w:t>Pediatric ADR prediction, 2025</w:t>
            </w:r>
          </w:p>
        </w:tc>
        <w:tc>
          <w:tcPr>
            <w:tcW w:w="504" w:type="dxa"/>
            <w:vAlign w:val="center"/>
            <w:hideMark/>
          </w:tcPr>
          <w:p w14:paraId="04B59E0C" w14:textId="77777777" w:rsidR="008A7D41" w:rsidRPr="008A7D41" w:rsidRDefault="008A7D41" w:rsidP="008A7D41">
            <w:r w:rsidRPr="008A7D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" w:type="dxa"/>
            <w:vAlign w:val="center"/>
            <w:hideMark/>
          </w:tcPr>
          <w:p w14:paraId="467CF306" w14:textId="77777777" w:rsidR="008A7D41" w:rsidRPr="008A7D41" w:rsidRDefault="008A7D41" w:rsidP="008A7D41">
            <w:r w:rsidRPr="008A7D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230" w:type="dxa"/>
            <w:vAlign w:val="center"/>
            <w:hideMark/>
          </w:tcPr>
          <w:p w14:paraId="4283FDA7" w14:textId="77777777" w:rsidR="008A7D41" w:rsidRPr="008A7D41" w:rsidRDefault="008A7D41" w:rsidP="008A7D41">
            <w:r w:rsidRPr="008A7D41">
              <w:t>Signal detection + ranking/thresholds</w:t>
            </w:r>
          </w:p>
        </w:tc>
        <w:tc>
          <w:tcPr>
            <w:tcW w:w="12443" w:type="dxa"/>
          </w:tcPr>
          <w:p w14:paraId="30E27A0D" w14:textId="6A8A3351" w:rsidR="008A7D41" w:rsidRPr="008A7D41" w:rsidRDefault="00077320" w:rsidP="008A7D41">
            <w:hyperlink r:id="rId8" w:history="1">
              <w:r w:rsidRPr="00A2531C">
                <w:rPr>
                  <w:rStyle w:val="Hyperlink"/>
                </w:rPr>
                <w:t>https://www.nature.com/articles/s42004-025-01865-9</w:t>
              </w:r>
            </w:hyperlink>
            <w:r>
              <w:t xml:space="preserve"> </w:t>
            </w:r>
          </w:p>
        </w:tc>
      </w:tr>
      <w:tr w:rsidR="008A7D41" w:rsidRPr="008A7D41" w14:paraId="78E2F46C" w14:textId="7B711977" w:rsidTr="00077320">
        <w:trPr>
          <w:tblCellSpacing w:w="15" w:type="dxa"/>
        </w:trPr>
        <w:tc>
          <w:tcPr>
            <w:tcW w:w="1245" w:type="dxa"/>
            <w:vAlign w:val="center"/>
            <w:hideMark/>
          </w:tcPr>
          <w:p w14:paraId="06060C78" w14:textId="77777777" w:rsidR="008A7D41" w:rsidRPr="008A7D41" w:rsidRDefault="008A7D41" w:rsidP="008A7D41">
            <w:r w:rsidRPr="008A7D41">
              <w:rPr>
                <w:b/>
                <w:bCs/>
              </w:rPr>
              <w:t>Crisafulli et al., 2025</w:t>
            </w:r>
          </w:p>
        </w:tc>
        <w:tc>
          <w:tcPr>
            <w:tcW w:w="504" w:type="dxa"/>
            <w:vAlign w:val="center"/>
            <w:hideMark/>
          </w:tcPr>
          <w:p w14:paraId="31191D5A" w14:textId="77777777" w:rsidR="008A7D41" w:rsidRPr="008A7D41" w:rsidRDefault="008A7D41" w:rsidP="008A7D41">
            <w:r w:rsidRPr="008A7D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" w:type="dxa"/>
            <w:vAlign w:val="center"/>
            <w:hideMark/>
          </w:tcPr>
          <w:p w14:paraId="2B87E3A8" w14:textId="77777777" w:rsidR="008A7D41" w:rsidRPr="008A7D41" w:rsidRDefault="008A7D41" w:rsidP="008A7D41">
            <w:r w:rsidRPr="008A7D41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2230" w:type="dxa"/>
            <w:vAlign w:val="center"/>
            <w:hideMark/>
          </w:tcPr>
          <w:p w14:paraId="17357555" w14:textId="77777777" w:rsidR="008A7D41" w:rsidRPr="008A7D41" w:rsidRDefault="008A7D41" w:rsidP="008A7D41">
            <w:r w:rsidRPr="008A7D41">
              <w:t>Pharmacovigilance problem/background</w:t>
            </w:r>
          </w:p>
        </w:tc>
        <w:tc>
          <w:tcPr>
            <w:tcW w:w="12443" w:type="dxa"/>
          </w:tcPr>
          <w:p w14:paraId="3CEAD4C7" w14:textId="5E90B24A" w:rsidR="008A7D41" w:rsidRPr="008A7D41" w:rsidRDefault="00077320" w:rsidP="008A7D41">
            <w:hyperlink r:id="rId9" w:history="1">
              <w:r w:rsidRPr="00A2531C">
                <w:rPr>
                  <w:rStyle w:val="Hyperlink"/>
                </w:rPr>
                <w:t>https://link.springer.com/article/10.1007/</w:t>
              </w:r>
              <w:r w:rsidRPr="00A2531C">
                <w:rPr>
                  <w:rStyle w:val="Hyperlink"/>
                </w:rPr>
                <w:br/>
              </w:r>
              <w:r w:rsidRPr="00A2531C">
                <w:rPr>
                  <w:rStyle w:val="Hyperlink"/>
                </w:rPr>
                <w:t>s40264-025-01548-3</w:t>
              </w:r>
            </w:hyperlink>
            <w:r w:rsidRPr="00077320">
              <w:t>?</w:t>
            </w:r>
            <w:r>
              <w:t xml:space="preserve">  </w:t>
            </w:r>
          </w:p>
        </w:tc>
      </w:tr>
    </w:tbl>
    <w:p w14:paraId="40C9A4B7" w14:textId="77777777" w:rsidR="008A7D41" w:rsidRDefault="008A7D41"/>
    <w:p w14:paraId="6485BA17" w14:textId="77777777" w:rsidR="00077320" w:rsidRDefault="00077320"/>
    <w:p w14:paraId="4922EFA1" w14:textId="1678D1FB" w:rsidR="00077320" w:rsidRDefault="00077320">
      <w:proofErr w:type="gramStart"/>
      <w:r w:rsidRPr="00077320">
        <w:rPr>
          <w:b/>
          <w:bCs/>
        </w:rPr>
        <w:t>In particular, your</w:t>
      </w:r>
      <w:proofErr w:type="gramEnd"/>
      <w:r w:rsidRPr="00077320">
        <w:rPr>
          <w:b/>
          <w:bCs/>
        </w:rPr>
        <w:t xml:space="preserve"> research gap can be stated as:</w:t>
      </w:r>
      <w:r w:rsidRPr="00077320">
        <w:t xml:space="preserve"> </w:t>
      </w:r>
      <w:r w:rsidRPr="00077320">
        <w:rPr>
          <w:i/>
          <w:iCs/>
        </w:rPr>
        <w:t>existing studies demonstrate promising ML performance, but there remains a need for a standardized, transparent head-to-head evaluation of ML against ROR, PRR, and IC using the same drug–event pairs, validation criteria, and ranking framework.</w:t>
      </w:r>
      <w:r w:rsidRPr="00077320">
        <w:t xml:space="preserve"> This gap is directly consistent with the 2025 review's observation that studies vary in datasets, features, evaluation approaches, and methodological transparency.</w:t>
      </w:r>
    </w:p>
    <w:p w14:paraId="35AEA12A" w14:textId="77777777" w:rsidR="00077320" w:rsidRDefault="00077320"/>
    <w:sectPr w:rsidR="00077320" w:rsidSect="0007732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80873"/>
    <w:multiLevelType w:val="multilevel"/>
    <w:tmpl w:val="A33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98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AB"/>
    <w:rsid w:val="0005646C"/>
    <w:rsid w:val="00077320"/>
    <w:rsid w:val="000B7100"/>
    <w:rsid w:val="004200A6"/>
    <w:rsid w:val="00457740"/>
    <w:rsid w:val="00553510"/>
    <w:rsid w:val="007E44B7"/>
    <w:rsid w:val="008A7D41"/>
    <w:rsid w:val="00E9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15D77"/>
  <w15:chartTrackingRefBased/>
  <w15:docId w15:val="{9F141666-75A0-47A7-B4C4-DBA2BEC5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E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3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73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2004-025-01865-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746-025-02173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ontiersin.org/journals/pharmacology/articles/10.3389/fphar.2025.1554650/full?utm_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ink.springer.com/article/10.1007/s40290-025-00561-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07/s40264-025-01548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2424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Harshini Mamidala</dc:creator>
  <cp:keywords/>
  <dc:description/>
  <cp:lastModifiedBy>Shree Harshini Mamidala</cp:lastModifiedBy>
  <cp:revision>5</cp:revision>
  <dcterms:created xsi:type="dcterms:W3CDTF">2026-09-11T14:29:00Z</dcterms:created>
  <dcterms:modified xsi:type="dcterms:W3CDTF">2026-09-13T06:53:00Z</dcterms:modified>
</cp:coreProperties>
</file>