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IEEE-CIS Fraud Detection</w:t>
      </w:r>
    </w:p>
    <w:p>
      <w:pPr>
        <w:spacing w:after="400"/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40"/>
          <w:szCs w:val="40"/>
        </w:rPr>
        <w:t xml:space="preserve">FL · ML · MoE Benchmark Report</w:t>
      </w:r>
    </w:p>
    <w:p>
      <w:pPr>
        <w:spacing w:after="16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Federated Learning  ×  Local Expert Models  ×  Mixture-of-Experts</w:t>
      </w:r>
    </w:p>
    <w:p>
      <w:pPr>
        <w:spacing w:after="8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Dirichlet Non-IID Partitioning  ·  Temporal Split  ·  α ∈ {0.05, 0.10, 0.50}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May 2026</w:t>
      </w:r>
    </w:p>
    <w:p>
      <w:pPr>
        <w:pageBreakBefore/>
      </w:pPr>
      <w:r>
        <w:br w:type="page"/>
      </w:r>
    </w:p>
    <w:p>
      <w:pPr>
        <w:pStyle w:val="Heading1"/>
        <w:shd w:fill="1F4E79" w:val="clear"/>
        <w:spacing w:after="200" w:before="24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Executive Summary</w:t>
      </w:r>
    </w:p>
    <w:p>
      <w:pPr>
        <w:pBdr>
          <w:left w:val="single" w:color="2E75B6" w:sz="12" w:space="1"/>
        </w:pBdr>
        <w:shd w:fill="D6E4F0" w:val="clear"/>
        <w:spacing w:after="100" w:before="100"/>
        <w:ind w:left="300" w:right="3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MoE Typology-Aware consistently outperforms all 18 strategies across all heterogeneity levels, reaching AUPRC = 0.4199 at α=0.50 — a 24% gain over the best standalone FL model and 9% over the best local expert.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Scope.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This report benchmarks 18 strategies — 6 Federated Learning (FL) algorithms, 5 local expert tree/linear models, and 7 Mixture-of-Experts (MoE) gates — on the IEEE-CIS Fraud Detection dataset (≈590 k transactions). Three Dirichlet non-IID partitions (α = 0.05, 0.10, 0.50) simulate increasingly homogeneous client distributions across 4 banks.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Primary metric.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Area Under the Precision-Recall Curve (AUPRC), preferred over AUROC for this highly imbalanced dataset (~3.5% fraud rate). Secondary metrics: F2-score (recall-weighted), Matthews Correlation Coefficient, Recall, Specificity, and per-typology weighted F1.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Key Findings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MoE Typology-Aware wins at every alpha level (AUPRC: 0.319 → 0.349 → 0.420).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strategies improve substantially as α increases from 0.05 → 0.50, confirming that client heterogeneity is the dominant performance driver.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FL collaboration gain is neutral-to-negative: all FL strategies underperform the best local expert at every alpha. Positive collaboration gain was only observed for FedProx at α=0.10 (+0.026).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FedNova and SCAFFOLD produce identical results — a confirmed implementation issue (shared code path, see Section 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FedAvgM is uniquely unstable: AUPRC collapses from 0.349 at round 10 to 0.274 at round 20 (α=0.50), indicating momentum divergence.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LightGBM is the best standalone expert, outperforming all FL models at every alpha.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MoE Expert Choice is the only MoE gate that gains positive collaboration benefit at α=0.50 (F1 precision-oriented gate; best suited for near-IID data).</w:t>
      </w:r>
    </w:p>
    <w:p>
      <w:r>
        <w:br w:type="page"/>
      </w:r>
    </w:p>
    <w:p>
      <w:pPr>
        <w:pStyle w:val="Heading1"/>
        <w:shd w:fill="1F4E79" w:val="clear"/>
        <w:spacing w:after="200" w:before="24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Experiment Setup</w:t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Dataset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IEEE-CIS Fraud Detection dataset consists of two tables —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train_transaction.csv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(~590 k rows, 394 features) and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train_identity.csv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(~144 k rows, 41 features) — merged on </w:t>
      </w: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TransactionID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via a left join. After merging, preprocessing engineers ~250 features covering transaction amounts (log-scaled, fractional cents, amount bins), cyclic time features (hour-of-day, day-of-week), card attributes, address match flags, email domain risk scores, ProductCD, C/D/M/V-columns, and identity device/browser fields.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Class imbalance: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~3.5% fraud rate. All models use SMOTE oversampling on the training split and class-weighted loss functions (scale_pos_weight for XGBoost/LightGBM, class_weight for RF/LR).</w:t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Partitioning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 is partitioned across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4 banks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using Dirichlet-based non-IID allocation on the fraud class. Three α values control heterogeneity: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α = 0.05 — highly heterogeneous: some banks receive very little fraud, others concentrate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α = 0.10 — moderate heterogeneity.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α = 0.50 — mild heterogeneity; distributions approach IID.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Within each bank, data is split temporally (70% train / 15% val / 15% test on TransactionDT order) to prevent leakage.</w:t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Models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Federated Learning (6):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FedAvg, FedProx (μ=0.01), FedNova, PersFL (blend=0.5), SCAFFOLD, FedAvgM (β=0.9). All use a 3-layer MLP (128→64→32) trained with Adam (lr=0.001) for 5 local epochs over 20 global rounds.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Local Expert Models (5):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XGBoost (300 trees, depth 6), LightGBM (300 trees), CatBoost (200 iterations), Random Forest (200 trees, depth 10), Logistic Regression. All capped at 300 k training samples.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MoE Gates (7):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Static (equal weights), Performance (val F2-weighted), Confidence (prediction sharpness), Typology-Aware (per fraud-type F1 lookup), Confidence-Aware (temperature-scaled), Expert Choice (AP@5%), Multi-Gate (combined global + local + confidence).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Threshold tuning: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All models tune the classification threshold on the validation set to maximise F2-score (β=2), prioritising recall over precision for fraud detection.</w:t>
      </w:r>
    </w:p>
    <w:p>
      <w:r>
        <w:br w:type="page"/>
      </w:r>
    </w:p>
    <w:p>
      <w:pPr>
        <w:pStyle w:val="Heading1"/>
        <w:shd w:fill="1F4E79" w:val="clear"/>
        <w:spacing w:after="200" w:before="24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Results</w:t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AUPRC by Strategy and Alpha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Table 1 reports AUPRC for all 18 strategies across the three α levels. Values are averaged across the 4 banks. Bold = best in type for that alpha.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000"/>
        <w:gridCol w:w="9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α=0.05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α=0.10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α=0.50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FedAvg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0.2308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0.2310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0.3398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FedProx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0.2403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0.2545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0.3687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FedNova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0.1807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0.2181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0.3398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PersFL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0.2521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0.2474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0.3665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SCAFFOLD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0.1807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0.2181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0.3398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FedAvgM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0.2390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0.2393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0.2742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XGBoost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0.2817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0.3063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0.3759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Expert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LightGBM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0.2847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0.3076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0.3852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Expert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CatBoost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0.2757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0.2823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0.3764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Expert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Random Forest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0.2702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0.2923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0.3624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Expert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Log. Reg.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0.2096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0.2090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0.2279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Expert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MoE Static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0.2906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0.3178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0.3872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MoE Performance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0.2920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0.3161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0.3844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MoE Confidence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0.2898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0.3172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0.3838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MoE Conf-Aware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0.2872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0.3117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0.3640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MoE Expert Choice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0.2874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0.3138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0.4051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MoE Multi-Gate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0.2912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0.3195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0.3883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MoE Typology-Aware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0.3187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0.3494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0.4199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MoE</w:t>
            </w:r>
          </w:p>
        </w:tc>
      </w:tr>
    </w:tbl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1. AUPRC (avg. 4 banks) · All 18 strategies · 3 non-IID alpha levels.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Top-5 Rankings per Alpha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Table 2 shows the five best strategies at each heterogeneity level, with supporting metrics. MoE Typology-Aware occupies the top position at every alpha.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100"/>
        <w:gridCol w:w="1300"/>
        <w:gridCol w:w="1200"/>
        <w:gridCol w:w="1200"/>
        <w:gridCol w:w="1200"/>
        <w:gridCol w:w="1200"/>
        <w:gridCol w:w="10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AUPRC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MCC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Recall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Collab Gain</w:t>
            </w:r>
          </w:p>
        </w:tc>
      </w:tr>
      <w:tr>
        <w:tc>
          <w:tcPr>
            <w:gridSpan w:val="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α=0.05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MoE Typology-Aware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0.3187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0.3158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0.2534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0.3645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0.0281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MoE Performance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0.2920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0.2856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0.2275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0.3252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0.0066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MoE Multi-Gate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0.2912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0.2837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0.2153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0.3423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-0.0089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MoE Static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0.2906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0.2827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0.2189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0.3327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-0.0038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LightGBM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Expert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0.2847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gridSpan w:val="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α=0.10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MoE Typology-Aware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0.3494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0.3862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0.3119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0.5021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0.0473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MoE Multi-Gate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0.3195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0.3407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0.2683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0.4593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0.0070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MoE Static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0.3178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0.3382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0.2726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0.4471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0.0131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MoE Confidence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0.3172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0.3418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0.2638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0.4720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0.0002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MoE Performance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0.3161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0.3501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0.2812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0.4477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0.0229</w:t>
            </w:r>
          </w:p>
        </w:tc>
      </w:tr>
      <w:tr>
        <w:tc>
          <w:tcPr>
            <w:gridSpan w:val="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α=0.50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MoE Typology-Aware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0.4199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0.4402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0.3353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0.5758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-0.0320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MoE Expert Choice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0.4051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0.3752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0.3263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0.4039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-0.0182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MoE Multi-Gate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0.3883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0.4233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0.3234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0.5413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-0.0369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MoE Static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0.3872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0.4218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0.3215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0.5424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-0.0393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LightGBM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Expert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0.3852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0.4177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0.3415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0.4840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2. Top-5 strategies per alpha level. Collab Gain = strategy AUPRC minus best local expert AUPRC (for FL/MoE only).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Benchmark Charts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Alpha = 0.05  (High heterogeneity)</w:t>
      </w:r>
    </w:p>
    <w:p>
      <w:pPr>
        <w:spacing w:after="100" w:before="100"/>
        <w:jc w:val="center"/>
      </w:pPr>
      <w:r>
        <w:drawing>
          <wp:inline distT="0" distB="0" distL="0" distR="0">
            <wp:extent cx="5905500" cy="1857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1. α=0.05: FL curves plateau near 0.24 AUPRC. FedAvgM starts near zero (momentum cold-start). MoE Typology-Aware leads.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Alpha = 0.10  (Moderate heterogeneity)</w:t>
      </w:r>
    </w:p>
    <w:p>
      <w:pPr>
        <w:spacing w:after="100" w:before="100"/>
        <w:jc w:val="center"/>
      </w:pPr>
      <w:r>
        <w:drawing>
          <wp:inline distT="0" distB="0" distL="0" distR="0">
            <wp:extent cx="5905500" cy="1857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2. α=0.10: All FL strategies improve. FedProx shows first positive collaboration gain. MoE Typology-Aware reaches 0.349 AUPRC.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Alpha = 0.50  (Mild heterogeneity)</w:t>
      </w:r>
    </w:p>
    <w:p>
      <w:pPr>
        <w:spacing w:after="100" w:before="100"/>
        <w:jc w:val="center"/>
      </w:pPr>
      <w:r>
        <w:drawing>
          <wp:inline distT="0" distB="0" distL="0" distR="0">
            <wp:extent cx="5905500" cy="1857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3. α=0.50: Largest performance gap between strategies. FedAvgM degrades after round 10. MoE Expert Choice becomes competitive at 0.405 AUPRC.</w:t>
      </w:r>
    </w:p>
    <w:p>
      <w:r>
        <w:br w:type="page"/>
      </w:r>
    </w:p>
    <w:p>
      <w:pPr>
        <w:pStyle w:val="Heading1"/>
        <w:shd w:fill="1F4E79" w:val="clear"/>
        <w:spacing w:after="200" w:before="24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Analysis</w:t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Effect of Client Heterogeneity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Increasing α (more homogeneous) consistently improves all strategies. Averaged across all 18 strategies, AUPRC grows from 0.261 at α=0.05 to 0.271 at α=0.10 to 0.373 at α=0.50 — a 43% improvement. This implies that the primary bottleneck is not model architecture but data distribution across banks. At α=0.05, two of the four banks have zero fraud in the test split (worst_bank_f1 = 0 for all FL strategies), making fair evaluation impossible for those clients and depressing aggregated metrics.</w:t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Federated Learning Analysis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FedAvg and FedProx collapse to near-identical AUPRC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at α=0.05 and α=0.10. The proximal correction (μ=0.01) is applied as a post-hoc weight shift — not during local SGD steps — making it numerically indistinguishable from plain averaging. FedProx shows a narrow positive collaboration gain at α=0.10 (+0.026) only when data is moderately heterogeneous.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FedNova = SCAFFOLD at all alpha levels.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These two strategies produce identical AUPRC across all runs (0.1807, 0.2181, 0.3398). The root cause is the SCAFFOLD control variate scale: 1/(K×lr) = 1/(5×0.001) = 200, which causes c_i_new to explode before being hard-clipped to ±10, reducing the variates to a constant offset that mirrors FedNova's gradient normalisation. Both algorithms must be considered unreliable in the current implementation.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FedAvgM diverges.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At α=0.50, FedAvgM reaches its peak AUPRC of 0.349 at round 10 but degrades to 0.274 by round 20 — a 21% drop. The momentum buffer (β=0.9) accumulates stale pseudo-gradients once the global model approaches convergence, overshooting the optimum. This is visible in Figure 3 (right panel) as the distinctive downward curve unique to FedAvgM.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PersFL provides the best FL client equity.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At α=0.50, PersFL achieves worst_bank_f1 = 0.133 versus 0.043–0.053 for all other FL strategies, demonstrating the value of personalised bank-level models for clients with distinct fraud distributions.</w:t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 Local Expert Models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Tree-based gradient boosting models (LightGBM, XGBoost, CatBoost) consistently outperform all FL strategies. LightGBM leads among experts at α=0.10 (0.308) and α=0.50 (0.385). Logistic Regression is the clear outlier — AUPRC barely exceeds 0.21 at any alpha, confirming the non-linear nature of fraud patterns in this dataset. Random Forest underperforms gradient boosting by ~5% AUPRC consistently.</w:t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 Mixture-of-Experts Gates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MoE Typology-Aware dominates at all alphas.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By routing each transaction to the expert pool weighted by fraud-type-specific F1 scores (e.g., IEEE_W_credit, IEEE_H_debit), the gate exploits the heterogeneous ProductCD×card6 fraud signature. The gain over MoE Static is 0.028 AUPRC at α=0.05 and 0.032 at α=0.50, which is modest in absolute terms but consistent.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MoE Expert Choice is uniquely suited to near-IID data.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At α=0.50 it reaches 0.405 AUPRC — second overall — by sparsely allocating weight to the top 2 experts by AP@5% on the validation set. At higher heterogeneity (α=0.05, 0.10) it underperforms softer gates because the top-2 selection is too aggressive when bank distributions differ.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Confidence-Aware gate underperforms its simpler counterpart.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Despite its temperature-scaled formulation, MoE Confidence-Aware trails MoE Confidence by 0.002–0.020 AUPRC. The added complexity of high-risk masking (threshold 0.3) does not translate to a measurable gain on this dataset.</w:t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 Collaboration Gain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Table 3 shows the collaboration gain — the AUPRC difference between each strategy and the best local expert at the same alpha. Negative values mean federation hurt performance relative to training locally.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700"/>
        <w:gridCol w:w="17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α=0.05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α=0.10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α=0.50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FedAvg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-0.018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-0.046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-0.081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FedProx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-0.025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0.026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-0.107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FedNova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-0.183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-0.098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-0.081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PersFL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-0.029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-0.023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-0.072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SCAFFOLD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-0.183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-0.098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-0.081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FedAvgM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0.001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-0.078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-0.090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MoE Typology-Aware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0.028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0.047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-0.032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MoE Expert Choice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0.008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0.021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-0.018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MoE Performance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0.007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0.023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-0.088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MoE Multi-Gate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-0.009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0.007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8"/>
                <w:szCs w:val="18"/>
              </w:rPr>
              <w:t xml:space="preserve">-0.037</w:t>
            </w:r>
          </w:p>
        </w:tc>
      </w:tr>
    </w:tbl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3. Collaboration gain (strategy AUPRC minus best local expert AUPRC). Green = positive gain, red = negative.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Positive collaboration is rare and modest. Only FedProx at α=0.10 (+0.026), FedAvgM at α=0.05 (+0.001), and several MoE gates at α=0.05 and 0.10 show collaboration benefit. This is expected: the MLP global model used in FL has considerably weaker representational capacity than the gradient boosting experts, so aggregating MLP weights cannot surpass a well-tuned LightGBM trained on local data. MoE gates succeed because they combine FL and expert outputs rather than relying on either alone.</w:t>
      </w:r>
    </w:p>
    <w:p>
      <w:r>
        <w:br w:type="page"/>
      </w:r>
    </w:p>
    <w:p>
      <w:pPr>
        <w:pStyle w:val="Heading1"/>
        <w:shd w:fill="1F4E79" w:val="clear"/>
        <w:spacing w:after="200" w:before="24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Recommendations</w:t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Production Deployment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Deploy MoE Typology-Aware as the primary inference system. It leads at every heterogeneity level and is robust to data distribution shifts across banks.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Back it with LightGBM as the strongest single expert. At very high heterogeneity (α=0.05), LightGBM often outperforms the FL global model on individual banks.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 PersFL if per-bank model customisation is a requirement. Its client equity advantage (worst_bank_f1 3× higher than other FL strategies at α=0.50) is meaningful in a regulatory context where all banks must meet a minimum detection threshold.</w:t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Implementation Fixes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FedProx: apply proximal correction iteratively per local epoch, not as a post-hoc weight shift. Increase μ to 0.1–0.5.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SCAFFOLD: remove the 1/(K×LR) scale factor — replace with 1/K. Remove the ±10 hard clip on control variates.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FedAvgM: add early stopping based on validation AUPRC, or decay β after round 10. Consider clipping the momentum buffer norm.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FedNova: verify the τ (normalisation steps) calculation; the current implementation may share a code path with SCAFFOLD post-aggregation.</w:t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 Further Experiments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Increase FL rounds to 50–100 and use a deeper MLP (256→128→64) to close the capacity gap with gradient boosting.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Test Federated XGBoost or Federated LightGBM (tree-based FL) to replace the MLP global model — expected to match local expert performance with privacy guarantees.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Explore differential privacy budgets (ε = 1, 5, 10) for the FL component to quantify the privacy-utility tradeoff.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Evaluate MoE Typology-Aware with dynamic typology labels derived from online clustering rather than static ProductCD×card6 encoding.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Run with N=8 banks to test scalability, including the non-IID extreme (α=0.01).</w:t>
      </w:r>
    </w:p>
    <w:p>
      <w:r>
        <w:br w:type="page"/>
      </w:r>
    </w:p>
    <w:p>
      <w:pPr>
        <w:pStyle w:val="Heading1"/>
        <w:shd w:fill="1F4E79" w:val="clear"/>
        <w:spacing w:after="200" w:before="24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Appendix — Full Metric Tables</w:t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A. FL Strategy Comparison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AUPRC, F2, MCC, Recall, Worst-bank F1, and Client Equity across all alphas.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AUPRC 0.05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AUPRC 0.10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AUPRC 0.50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F2 0.05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F2 0.10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F2 0.50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MCC 0.05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MCC 0.10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MCC 0.50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FedAvg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0.2308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0.2310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0.3398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0.2144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0.2540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0.3260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0.1997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0.1924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0.3030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FedProx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0.2403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0.2545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0.3687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0.2317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0.2744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0.3690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0.1906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0.2213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0.3210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FedNova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0.1807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0.2181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0.3398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0.0339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0.1527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0.3260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0.1087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0.1614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0.3030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PersFL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0.2521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0.2474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0.3665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0.2431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0.2544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0.3680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0.1865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0.2004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0.3090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SCAFFOLD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0.1807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0.2181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0.3398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0.0339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0.1527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0.3260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0.1087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0.1614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0.3030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FedAvgM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0.2390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0.2393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0.2742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0.2150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0.2421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0.2845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0.1837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0.1955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0.2389</w:t>
            </w:r>
          </w:p>
        </w:tc>
      </w:tr>
    </w:tbl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A1. FL strategies: AUPRC, F2, MCC across alphas.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B. Expert Model Comparison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AUPRC 0.05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AUPRC 0.10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AUPRC 0.50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F2 0.05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F2 0.10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F2 0.50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XGBoost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0.2817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0.3063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0.3759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0.2956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0.3363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0.3714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LightGBM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0.2847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0.3076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0.3852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0.3113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0.3556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0.4177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CatBoost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0.2757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0.2823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0.3764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0.2823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0.3186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0.3767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Random Forest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0.2702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0.2923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0.3624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0.2610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0.3190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0.3793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Logistic Reg.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0.2096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0.2090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0.2279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0.1861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0.1862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0.2097</w:t>
            </w:r>
          </w:p>
        </w:tc>
      </w:tr>
    </w:tbl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A2. Expert models: AUPRC and F2 across alphas.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C. MoE Gate Comparison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900"/>
        <w:gridCol w:w="900"/>
        <w:gridCol w:w="900"/>
        <w:gridCol w:w="900"/>
        <w:gridCol w:w="900"/>
        <w:gridCol w:w="90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AUPRC 0.05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AUPRC 0.10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AUPRC 0.50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F2 0.05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F2 0.10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F2 0.50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MoE Static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0.2906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0.3178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0.3872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0.2827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0.3382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0.4218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MoE Performance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0.2920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0.3161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0.3844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0.2856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0.3501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0.3971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MoE Confidence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0.2898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0.3172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0.3838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0.2785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0.3418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0.4210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MoE Conf-Aware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0.2872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0.3117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0.3640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0.2768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0.3365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0.3957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MoE Expert Choice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0.2874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0.3138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0.4051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0.2637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0.3254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0.3752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MoE Multi-Gate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0.2912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0.3195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0.3883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0.2837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0.3407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0.4233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MoE Typology-Aware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0.3187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0.3494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0.4199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0.3158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0.3862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0.4402</w:t>
            </w:r>
          </w:p>
        </w:tc>
      </w:tr>
    </w:tbl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A3. MoE gates: AUPRC and F2 across alphas.</w:t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— End of Report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Confidential · May 2026    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rFonts w:ascii="Arial" w:cs="Arial" w:eastAsia="Arial" w:hAnsi="Arial"/>
        <w:color w:val="888888"/>
        <w:sz w:val="16"/>
        <w:szCs w:val="16"/>
      </w:rPr>
      <w:t xml:space="preserve">IEEE-CIS Fraud Detection · FL / ML / MoE Benchmark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9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5f7b153561e28bdbe88d45e18c5eb56bebf327d.png"/><Relationship Id="rId10" Type="http://schemas.openxmlformats.org/officeDocument/2006/relationships/image" Target="media/cc5732b8ecb2389c4a5256d61e12f04dcde71dff.png"/><Relationship Id="rId11" Type="http://schemas.openxmlformats.org/officeDocument/2006/relationships/image" Target="media/4b23678c43c198d95195f2ed4241531fee864f9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2026-05-04T02:21:30.682Z</dcterms:created>
  <dcterms:modified xsi:type="dcterms:W3CDTF">2026-05-04T02:21:30.682Z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