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E3A5F"/>
          <w:sz w:val="48"/>
          <w:szCs w:val="48"/>
        </w:rPr>
        <w:t xml:space="preserve">Federated Learning for Fraud Detection</w:t>
      </w:r>
    </w:p>
    <w:p>
      <w:pPr>
        <w:spacing w:after="100"/>
        <w:jc w:val="center"/>
      </w:pPr>
      <w:r>
        <w:rPr>
          <w:rFonts w:ascii="Arial" w:cs="Arial" w:eastAsia="Arial" w:hAnsi="Arial"/>
          <w:color w:val="374151"/>
          <w:sz w:val="32"/>
          <w:szCs w:val="32"/>
        </w:rPr>
        <w:t xml:space="preserve">Comprehensive Results Report: LR vs MLP Models</w:t>
      </w:r>
    </w:p>
    <w:p>
      <w:pPr>
        <w:spacing w:after="400"/>
        <w:jc w:val="center"/>
      </w:pPr>
      <w:r>
        <w:rPr>
          <w:rFonts w:ascii="Arial" w:cs="Arial" w:eastAsia="Arial" w:hAnsi="Arial"/>
          <w:i/>
          <w:iCs/>
          <w:color w:val="6B7280"/>
          <w:sz w:val="24"/>
          <w:szCs w:val="24"/>
        </w:rPr>
        <w:t xml:space="preserve">Privacy Modes: NoDP | Differential Privacy (DP) | Sparsification</w:t>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presents a comprehensive comparison of federated learning (FL) algorithms applied to credit card fraud detection using two model architectures: Logistic Regression (LR) and Multi-Layer Perceptron (MLP). Experiments evaluated three privacy configurations — no differential privacy (NoDP), differential privacy (DP), and gradient sparsification — across algorithms including FedAvg, FedProx, PersFL (LR) and FedAvg, FedNova, FedProx, PersFL, and SCAFFOLD (MLP).</w:t>
      </w:r>
    </w:p>
    <w:p>
      <w:pPr>
        <w:spacing w:after="120"/>
      </w:pPr>
      <w:r>
        <w:rPr>
          <w:rFonts w:ascii="Arial" w:cs="Arial" w:eastAsia="Arial" w:hAnsi="Arial"/>
          <w:sz w:val="22"/>
          <w:szCs w:val="22"/>
        </w:rPr>
        <w:t xml:space="preserve">Key Finding: MLP consistently achieves higher AUC (0.975–0.987) compared to LR (0.962–0.965), with MLP also demonstrating notably superior F1 scores. However, LR offers faster convergence and greater training stability, reaching target AUC within 1 round across all configurations.</w:t>
      </w:r>
    </w:p>
    <w:p>
      <w:pPr>
        <w:spacing w:after="100"/>
      </w:pPr>
      <w:r>
        <w:t xml:space="preserve"/>
      </w:r>
    </w:p>
    <w:p>
      <w:pPr>
        <w:pStyle w:val="Heading1"/>
      </w:pPr>
      <w:r>
        <w:rPr>
          <w:rFonts w:ascii="Arial" w:cs="Arial" w:eastAsia="Arial" w:hAnsi="Arial"/>
          <w:b/>
          <w:bCs/>
          <w:sz w:val="32"/>
          <w:szCs w:val="32"/>
        </w:rPr>
        <w:t xml:space="preserve">2. Key Performance Metrics Overview</w:t>
      </w:r>
    </w:p>
    <w:p>
      <w:pPr>
        <w:pStyle w:val="Heading2"/>
      </w:pPr>
      <w:r>
        <w:rPr>
          <w:rFonts w:ascii="Arial" w:cs="Arial" w:eastAsia="Arial" w:hAnsi="Arial"/>
          <w:b/>
          <w:bCs/>
          <w:color w:val="1E3A5F"/>
          <w:sz w:val="26"/>
          <w:szCs w:val="26"/>
        </w:rPr>
        <w:t xml:space="preserve">2.1 Overall Model Comparison</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20"/>
        <w:gridCol w:w="2400"/>
        <w:gridCol w:w="204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LR Best</w:t>
            </w:r>
          </w:p>
        </w:tc>
        <w:tc>
          <w:tcPr>
            <w:tcW w:type="dxa" w:w="19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LR Mean</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MLP Best</w:t>
            </w:r>
          </w:p>
        </w:tc>
        <w:tc>
          <w:tcPr>
            <w:tcW w:type="dxa" w:w="20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MLP Mean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Best AUC</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0.9648 (FedProx/Sparse)</w:t>
            </w:r>
          </w:p>
        </w:tc>
        <w:tc>
          <w:tcPr>
            <w:tcW w:type="dxa" w:w="19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0.9636</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0.9871 (FedNova/DP)</w:t>
            </w:r>
          </w:p>
        </w:tc>
        <w:tc>
          <w:tcPr>
            <w:tcW w:type="dxa" w:w="2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Best 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0.6021 (PersFL/NoDP)</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0.4624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0.8163 (FedAvg/NoDP)</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0.6523</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Recall@1FPR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 (all)</w:t>
            </w:r>
          </w:p>
        </w:tc>
        <w:tc>
          <w:tcPr>
            <w:tcW w:type="dxa" w:w="19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0.9184 (FedAvg,PersFL)</w:t>
            </w:r>
          </w:p>
        </w:tc>
        <w:tc>
          <w:tcPr>
            <w:tcW w:type="dxa" w:w="2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0.8929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KS Statistic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0.8938 (FedAvg/Sparse)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0.8967 (PersFL/DP)</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0.8799</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JFI</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1.0000 (FedProx/NoDP)</w:t>
            </w:r>
          </w:p>
        </w:tc>
        <w:tc>
          <w:tcPr>
            <w:tcW w:type="dxa" w:w="19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1.0000 (FedAvg,FedProx,PersFL)</w:t>
            </w:r>
          </w:p>
        </w:tc>
        <w:tc>
          <w:tcPr>
            <w:tcW w:type="dxa" w:w="2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0.9894</w:t>
            </w:r>
          </w:p>
        </w:tc>
      </w:tr>
    </w:tbl>
    <w:p>
      <w:pPr>
        <w:spacing w:after="100"/>
      </w:pPr>
      <w:r>
        <w:t xml:space="preserve"/>
      </w:r>
    </w:p>
    <w:p>
      <w:pPr>
        <w:spacing w:after="100"/>
      </w:pPr>
      <w:r>
        <w:t xml:space="preserve"/>
      </w:r>
    </w:p>
    <w:p>
      <w:pPr>
        <w:pStyle w:val="Heading1"/>
      </w:pPr>
      <w:r>
        <w:rPr>
          <w:rFonts w:ascii="Arial" w:cs="Arial" w:eastAsia="Arial" w:hAnsi="Arial"/>
          <w:b/>
          <w:bCs/>
          <w:sz w:val="32"/>
          <w:szCs w:val="32"/>
        </w:rPr>
        <w:t xml:space="preserve">3. Logistic Regression (LR) Results</w:t>
      </w:r>
    </w:p>
    <w:p>
      <w:pPr>
        <w:pStyle w:val="Heading2"/>
      </w:pPr>
      <w:r>
        <w:rPr>
          <w:rFonts w:ascii="Arial" w:cs="Arial" w:eastAsia="Arial" w:hAnsi="Arial"/>
          <w:b/>
          <w:bCs/>
          <w:color w:val="1E3A5F"/>
          <w:sz w:val="26"/>
          <w:szCs w:val="26"/>
        </w:rPr>
        <w:t xml:space="preserve">3.1 LR – Detailed Results by Algorithm &amp; Privacy Mode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360"/>
        <w:gridCol w:w="1300"/>
        <w:gridCol w:w="1500"/>
        <w:gridCol w:w="1300"/>
        <w:gridCol w:w="1400"/>
        <w:gridCol w:w="130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Algorithm</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Privacy</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AUC</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F1</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Recall@1FPR</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KS Stat</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Sigma AUC</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JFI</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FedAvg</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0.9636</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0.4094</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0.8911</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0.0103</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0.9626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0.4508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0.0097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FedAvg</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0.9622</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0.5489</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0.8938</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0.0110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FedProx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0.9639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0.4350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0.0098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FedProx</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0.9641</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0.4677</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0.8901</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0.0103</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FedProx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0.9648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0.0095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PersFL</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0.9631</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0.6021</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0.8916</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0.0099</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PersFL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0.9644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0.4591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0.0098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PersFL</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0.9640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0.4339</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0.8908</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0.0099</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bl>
    <w:p>
      <w:pPr>
        <w:spacing w:after="100"/>
      </w:pPr>
      <w:r>
        <w:t xml:space="preserve"/>
      </w:r>
    </w:p>
    <w:p>
      <w:pPr>
        <w:pStyle w:val="Heading2"/>
      </w:pPr>
      <w:r>
        <w:rPr>
          <w:rFonts w:ascii="Arial" w:cs="Arial" w:eastAsia="Arial" w:hAnsi="Arial"/>
          <w:b/>
          <w:bCs/>
          <w:color w:val="1E3A5F"/>
          <w:sz w:val="26"/>
          <w:szCs w:val="26"/>
        </w:rPr>
        <w:t xml:space="preserve">3.2 LR – Key Observations</w:t>
      </w:r>
    </w:p>
    <w:p>
      <w:pPr>
        <w:spacing w:after="120"/>
      </w:pPr>
      <w:r>
        <w:rPr>
          <w:rFonts w:ascii="Arial" w:cs="Arial" w:eastAsia="Arial" w:hAnsi="Arial"/>
          <w:sz w:val="22"/>
          <w:szCs w:val="22"/>
        </w:rPr>
        <w:t xml:space="preserve">• All LR configurations converge to target AUC (≥0.95) in round 1, demonstrating the model's rapid learning on this tabular fraud dataset.</w:t>
      </w:r>
    </w:p>
    <w:p>
      <w:pPr>
        <w:spacing w:after="120"/>
      </w:pPr>
      <w:r>
        <w:rPr>
          <w:rFonts w:ascii="Arial" w:cs="Arial" w:eastAsia="Arial" w:hAnsi="Arial"/>
          <w:sz w:val="22"/>
          <w:szCs w:val="22"/>
        </w:rPr>
        <w:t xml:space="preserve">• Best AUC: FedProx + Sparsification achieves 0.9648, marginally outperforming NoDP and DP variants.</w:t>
      </w:r>
    </w:p>
    <w:p>
      <w:pPr>
        <w:spacing w:after="120"/>
      </w:pPr>
      <w:r>
        <w:rPr>
          <w:rFonts w:ascii="Arial" w:cs="Arial" w:eastAsia="Arial" w:hAnsi="Arial"/>
          <w:sz w:val="22"/>
          <w:szCs w:val="22"/>
        </w:rPr>
        <w:t xml:space="preserve">• Best F1: PersFL + NoDP achieves 0.6021, indicating personalization helps balance precision and recall.</w:t>
      </w:r>
    </w:p>
    <w:p>
      <w:pPr>
        <w:spacing w:after="120"/>
      </w:pPr>
      <w:r>
        <w:rPr>
          <w:rFonts w:ascii="Arial" w:cs="Arial" w:eastAsia="Arial" w:hAnsi="Arial"/>
          <w:sz w:val="22"/>
          <w:szCs w:val="22"/>
        </w:rPr>
        <w:t xml:space="preserve">• Privacy impact is minimal on AUC (&lt;0.003 range), but DP and Sparsification improve F1 scores for most algorithms.</w:t>
      </w:r>
    </w:p>
    <w:p>
      <w:pPr>
        <w:spacing w:after="120"/>
      </w:pPr>
      <w:r>
        <w:rPr>
          <w:rFonts w:ascii="Arial" w:cs="Arial" w:eastAsia="Arial" w:hAnsi="Arial"/>
          <w:sz w:val="22"/>
          <w:szCs w:val="22"/>
        </w:rPr>
        <w:t xml:space="preserve">• JFI (Jain Fairness Index) is near-perfect (≥0.9999) across all configurations, confirming fair gradient aggregation.</w:t>
      </w:r>
    </w:p>
    <w:p>
      <w:pPr>
        <w:spacing w:after="100"/>
      </w:pPr>
      <w:r>
        <w:t xml:space="preserve"/>
      </w:r>
    </w:p>
    <w:p>
      <w:pPr>
        <w:pStyle w:val="Heading1"/>
      </w:pPr>
      <w:r>
        <w:rPr>
          <w:rFonts w:ascii="Arial" w:cs="Arial" w:eastAsia="Arial" w:hAnsi="Arial"/>
          <w:b/>
          <w:bCs/>
          <w:sz w:val="32"/>
          <w:szCs w:val="32"/>
        </w:rPr>
        <w:t xml:space="preserve">4. Multi-Layer Perceptron (MLP) Results</w:t>
      </w:r>
    </w:p>
    <w:p>
      <w:pPr>
        <w:pStyle w:val="Heading2"/>
      </w:pPr>
      <w:r>
        <w:rPr>
          <w:rFonts w:ascii="Arial" w:cs="Arial" w:eastAsia="Arial" w:hAnsi="Arial"/>
          <w:b/>
          <w:bCs/>
          <w:color w:val="1E3A5F"/>
          <w:sz w:val="26"/>
          <w:szCs w:val="26"/>
        </w:rPr>
        <w:t xml:space="preserve">4.1 MLP – Detailed Results by Algorithm &amp; Privacy Mode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300"/>
        <w:gridCol w:w="1500"/>
        <w:gridCol w:w="1300"/>
        <w:gridCol w:w="1300"/>
        <w:gridCol w:w="13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Algorithm</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Privacy</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AUC</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F1</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Recall@1FPR</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KS Stat</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Sigma AUC</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JFI</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FedAvg</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0.9808</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0.7382</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0.9184</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0.8790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0.0011</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1.0000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0.9795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0.8163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0.9082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0.0007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FedAvg</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0.9826</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0.7609</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0.8851</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0.0130</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FedNova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0.9871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0.6747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0.8937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0.0300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0.9974</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FedNova</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0.9799</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0.1857</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0.8877</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0.0224</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0.9989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FedNova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0.9604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0.0086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0.7755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0.8578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0.0250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0.9991</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FedProx</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0.9799</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0.6590</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0.9082</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0.8934</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0.0011</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1.0000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FedProx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0.9806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0.6935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0.9082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0.8849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0.0007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FedProx</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0.9756</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0.6422</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0.8776</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0.8715</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0.0088</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PersFL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0.9792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0.7368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0.9184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0.8967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0.0084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0.9980</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PersFL</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0.9787</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0.8103</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0.9082</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0.8861</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0.0001</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1.0000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PersFL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0.9761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0.7101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0.8878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0.8729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0.0290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0.9847</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SCAFFOLD</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0.9794</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0.7429</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0.8878</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0.8735</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0.0678</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0.8869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SCAFFOLD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0.9797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0.8878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0.8824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0.0888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0.9316</w:t>
            </w:r>
          </w:p>
        </w:tc>
      </w:tr>
      <w:tr>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SCAFFOLD</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0.9751</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0.8103</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0.8980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0.8870</w:t>
            </w:r>
          </w:p>
        </w:tc>
        <w:tc>
          <w:tcPr>
            <w:tcW w:type="dxa" w:w="1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0.0086</w:t>
            </w:r>
          </w:p>
        </w:tc>
        <w:tc>
          <w:tcPr>
            <w:tcW w:type="dxa" w:w="1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0.9999</w:t>
            </w:r>
          </w:p>
        </w:tc>
      </w:tr>
    </w:tbl>
    <w:p>
      <w:pPr>
        <w:spacing w:after="100"/>
      </w:pPr>
      <w:r>
        <w:t xml:space="preserve"/>
      </w:r>
    </w:p>
    <w:p>
      <w:pPr>
        <w:pStyle w:val="Heading2"/>
      </w:pPr>
      <w:r>
        <w:rPr>
          <w:rFonts w:ascii="Arial" w:cs="Arial" w:eastAsia="Arial" w:hAnsi="Arial"/>
          <w:b/>
          <w:bCs/>
          <w:color w:val="1E3A5F"/>
          <w:sz w:val="26"/>
          <w:szCs w:val="26"/>
        </w:rPr>
        <w:t xml:space="preserve">4.2 MLP – Key Observations</w:t>
      </w:r>
    </w:p>
    <w:p>
      <w:pPr>
        <w:spacing w:after="120"/>
      </w:pPr>
      <w:r>
        <w:rPr>
          <w:rFonts w:ascii="Arial" w:cs="Arial" w:eastAsia="Arial" w:hAnsi="Arial"/>
          <w:sz w:val="22"/>
          <w:szCs w:val="22"/>
        </w:rPr>
        <w:t xml:space="preserve">• MLP achieves substantially higher Best AUC than LR across all configurations (avg +0.016 AUC improvement).</w:t>
      </w:r>
    </w:p>
    <w:p>
      <w:pPr>
        <w:spacing w:after="120"/>
      </w:pPr>
      <w:r>
        <w:rPr>
          <w:rFonts w:ascii="Arial" w:cs="Arial" w:eastAsia="Arial" w:hAnsi="Arial"/>
          <w:sz w:val="22"/>
          <w:szCs w:val="22"/>
        </w:rPr>
        <w:t xml:space="preserve">• Best AUC: FedNova + DP achieves the highest overall score of 0.9871.</w:t>
      </w:r>
    </w:p>
    <w:p>
      <w:pPr>
        <w:spacing w:after="120"/>
      </w:pPr>
      <w:r>
        <w:rPr>
          <w:rFonts w:ascii="Arial" w:cs="Arial" w:eastAsia="Arial" w:hAnsi="Arial"/>
          <w:sz w:val="22"/>
          <w:szCs w:val="22"/>
        </w:rPr>
        <w:t xml:space="preserve">• Best F1: FedAvg + NoDP achieves 0.8163, representing a +0.214 improvement over the best LR F1.</w:t>
      </w:r>
    </w:p>
    <w:p>
      <w:pPr>
        <w:spacing w:after="120"/>
      </w:pPr>
      <w:r>
        <w:rPr>
          <w:rFonts w:ascii="Arial" w:cs="Arial" w:eastAsia="Arial" w:hAnsi="Arial"/>
          <w:sz w:val="22"/>
          <w:szCs w:val="22"/>
        </w:rPr>
        <w:t xml:space="preserve">• SCAFFOLD shows instability in DP and NoDP modes (final AUC drops to ~0.1–0.5) despite high initial best AUC, revealing convergence issues without sparsification.</w:t>
      </w:r>
    </w:p>
    <w:p>
      <w:pPr>
        <w:spacing w:after="120"/>
      </w:pPr>
      <w:r>
        <w:rPr>
          <w:rFonts w:ascii="Arial" w:cs="Arial" w:eastAsia="Arial" w:hAnsi="Arial"/>
          <w:sz w:val="22"/>
          <w:szCs w:val="22"/>
        </w:rPr>
        <w:t xml:space="preserve">• FedNova + Sparsification underperforms (AUC 0.9604, F1 0.0086), suggesting poor compatibility between FedNova's gradient correction and sparsification.</w:t>
      </w:r>
    </w:p>
    <w:p>
      <w:pPr>
        <w:spacing w:after="120"/>
      </w:pPr>
      <w:r>
        <w:rPr>
          <w:rFonts w:ascii="Arial" w:cs="Arial" w:eastAsia="Arial" w:hAnsi="Arial"/>
          <w:sz w:val="22"/>
          <w:szCs w:val="22"/>
        </w:rPr>
        <w:t xml:space="preserve">• Sigma AUC is notably higher for FedNova and SCAFFOLD, indicating greater round-to-round variance.</w:t>
      </w:r>
    </w:p>
    <w:p>
      <w:pPr>
        <w:spacing w:after="100"/>
      </w:pPr>
      <w:r>
        <w:t xml:space="preserve"/>
      </w:r>
    </w:p>
    <w:p>
      <w:pPr>
        <w:pStyle w:val="Heading1"/>
      </w:pPr>
      <w:r>
        <w:rPr>
          <w:rFonts w:ascii="Arial" w:cs="Arial" w:eastAsia="Arial" w:hAnsi="Arial"/>
          <w:b/>
          <w:bCs/>
          <w:sz w:val="32"/>
          <w:szCs w:val="32"/>
        </w:rPr>
        <w:t xml:space="preserve">5. Comparative Analysis: LR vs MLP</w:t>
      </w:r>
    </w:p>
    <w:p>
      <w:pPr>
        <w:pStyle w:val="Heading2"/>
      </w:pPr>
      <w:r>
        <w:rPr>
          <w:rFonts w:ascii="Arial" w:cs="Arial" w:eastAsia="Arial" w:hAnsi="Arial"/>
          <w:b/>
          <w:bCs/>
          <w:color w:val="1E3A5F"/>
          <w:sz w:val="26"/>
          <w:szCs w:val="26"/>
        </w:rPr>
        <w:t xml:space="preserve">5.1 Head-to-Head Metric Comparison by Privacy Mode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100"/>
        <w:gridCol w:w="1680"/>
        <w:gridCol w:w="1680"/>
        <w:gridCol w:w="1200"/>
        <w:gridCol w:w="1680"/>
        <w:gridCol w:w="1680"/>
        <w:gridCol w:w="1140"/>
      </w:tblGrid>
      <w:tr>
        <w:trPr>
          <w:tblHeader/>
        </w:trP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Privacy Mode</w:t>
            </w:r>
          </w:p>
        </w:tc>
        <w:tc>
          <w:tcPr>
            <w:tcW w:type="dxa" w:w="1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LR Mean AUC</w:t>
            </w:r>
          </w:p>
        </w:tc>
        <w:tc>
          <w:tcPr>
            <w:tcW w:type="dxa" w:w="1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MLP Mean AUC</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AUC</w:t>
            </w:r>
          </w:p>
        </w:tc>
        <w:tc>
          <w:tcPr>
            <w:tcW w:type="dxa" w:w="1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LR Mean F1</w:t>
            </w:r>
          </w:p>
        </w:tc>
        <w:tc>
          <w:tcPr>
            <w:tcW w:type="dxa" w:w="1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MLP Mean F1</w:t>
            </w:r>
          </w:p>
        </w:tc>
        <w:tc>
          <w:tcPr>
            <w:tcW w:type="dxa" w:w="11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F1</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NoDP</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0.9632</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0.9834</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+0.0202</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0.4824</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0.6051</w:t>
            </w:r>
          </w:p>
        </w:tc>
        <w:tc>
          <w:tcPr>
            <w:tcW w:type="dxa" w:w="11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+0.1227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0.9633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0.9813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+0.0180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0.4593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0.7187</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+0.2594</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Sparsification</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0.9638</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0.9740</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+0.0102</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0.4619</w:t>
            </w:r>
          </w:p>
        </w:tc>
        <w:tc>
          <w:tcPr>
            <w:tcW w:type="dxa" w:w="1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0.5944</w:t>
            </w:r>
          </w:p>
        </w:tc>
        <w:tc>
          <w:tcPr>
            <w:tcW w:type="dxa" w:w="11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+0.1325</w:t>
            </w:r>
          </w:p>
        </w:tc>
      </w:tr>
    </w:tbl>
    <w:p>
      <w:pPr>
        <w:spacing w:after="100"/>
      </w:pPr>
      <w:r>
        <w:t xml:space="preserve"/>
      </w:r>
    </w:p>
    <w:p>
      <w:pPr>
        <w:pStyle w:val="Heading2"/>
      </w:pPr>
      <w:r>
        <w:rPr>
          <w:rFonts w:ascii="Arial" w:cs="Arial" w:eastAsia="Arial" w:hAnsi="Arial"/>
          <w:b/>
          <w:bCs/>
          <w:color w:val="1E3A5F"/>
          <w:sz w:val="26"/>
          <w:szCs w:val="26"/>
        </w:rPr>
        <w:t xml:space="preserve">5.2 Algorithm Recommendation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5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Config</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Highest AUC</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MLP + FedNova + DP</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Best AUC 0.9871, strong recall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Highest F1 (Fraud Recall)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MLP + FedAvg + NoDP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Best F1 0.8163, stable convergence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Privacy-Critical Deployment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MLP + FedProx + DP</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Strong AUC 0.9799, stable with DP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Low Compute / Fast Training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LR + FedProx + Sparsification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Best LR AUC, 1-round convergence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Fair Gradient Aggregation</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LR or MLP + PersFL + NoDP</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sz w:val="18"/>
                <w:szCs w:val="18"/>
              </w:rPr>
              <w:t xml:space="preserve">JFI = 1.0000, excellent fairness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Edge/Bandwidth Constrained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LR + FedAvg + Sparsification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Reduced communication overhead</w:t>
            </w:r>
          </w:p>
        </w:tc>
      </w:tr>
    </w:tbl>
    <w:p>
      <w:pPr>
        <w:spacing w:after="100"/>
      </w:pPr>
      <w:r>
        <w:t xml:space="preserve"/>
      </w:r>
    </w:p>
    <w:p>
      <w:pPr>
        <w:pStyle w:val="Heading1"/>
      </w:pPr>
      <w:r>
        <w:rPr>
          <w:rFonts w:ascii="Arial" w:cs="Arial" w:eastAsia="Arial" w:hAnsi="Arial"/>
          <w:b/>
          <w:bCs/>
          <w:sz w:val="32"/>
          <w:szCs w:val="32"/>
        </w:rPr>
        <w:t xml:space="preserve">6. Visual Results Dashboard</w:t>
      </w:r>
    </w:p>
    <w:p>
      <w:pPr>
        <w:spacing w:after="120"/>
      </w:pPr>
      <w:r>
        <w:rPr>
          <w:rFonts w:ascii="Arial" w:cs="Arial" w:eastAsia="Arial" w:hAnsi="Arial"/>
          <w:sz w:val="22"/>
          <w:szCs w:val="22"/>
        </w:rPr>
        <w:t xml:space="preserve">The figure below presents the comprehensive visual comparison across all configurations, including AUC heatmaps, convergence curves, the AUC/F1 trade-off scatter plot, a normalized radar chart, and the full results summary table.</w:t>
      </w:r>
    </w:p>
    <w:p>
      <w:pPr>
        <w:spacing w:after="100"/>
      </w:pPr>
      <w:r>
        <w:t xml:space="preserve"/>
      </w:r>
    </w:p>
    <w:p>
      <w:pPr>
        <w:jc w:val="center"/>
      </w:pPr>
      <w:r>
        <w:drawing>
          <wp:inline distT="0" distB="0" distL="0" distR="0">
            <wp:extent cx="85725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7048500"/>
                    </a:xfrm>
                    <a:prstGeom prst="rect">
                      <a:avLst/>
                    </a:prstGeom>
                  </pic:spPr>
                </pic:pic>
              </a:graphicData>
            </a:graphic>
          </wp:inline>
        </w:drawing>
      </w:r>
    </w:p>
    <w:p>
      <w:pPr>
        <w:spacing w:after="100"/>
      </w:pPr>
      <w:r>
        <w:t xml:space="preserve"/>
      </w:r>
    </w:p>
    <w:p>
      <w:pPr>
        <w:pStyle w:val="Heading1"/>
      </w:pPr>
      <w:r>
        <w:rPr>
          <w:rFonts w:ascii="Arial" w:cs="Arial" w:eastAsia="Arial" w:hAnsi="Arial"/>
          <w:b/>
          <w:bCs/>
          <w:sz w:val="32"/>
          <w:szCs w:val="32"/>
        </w:rPr>
        <w:t xml:space="preserve">7. Conclusions</w:t>
      </w:r>
    </w:p>
    <w:p>
      <w:pPr>
        <w:spacing w:after="120"/>
      </w:pPr>
      <w:r>
        <w:rPr>
          <w:rFonts w:ascii="Arial" w:cs="Arial" w:eastAsia="Arial" w:hAnsi="Arial"/>
          <w:sz w:val="22"/>
          <w:szCs w:val="22"/>
        </w:rPr>
        <w:t xml:space="preserve">1. MLP outperforms LR on both AUC and F1 across all privacy configurations, making it the preferred model for fraud detection when computational resources permit.</w:t>
      </w:r>
    </w:p>
    <w:p>
      <w:pPr>
        <w:spacing w:after="120"/>
      </w:pPr>
      <w:r>
        <w:rPr>
          <w:rFonts w:ascii="Arial" w:cs="Arial" w:eastAsia="Arial" w:hAnsi="Arial"/>
          <w:sz w:val="22"/>
          <w:szCs w:val="22"/>
        </w:rPr>
        <w:t xml:space="preserve">2. Differential Privacy (DP) has minimal AUC impact for LR (&lt;0.003) but can improve F1, suggesting privacy-utility trade-offs are manageable.</w:t>
      </w:r>
    </w:p>
    <w:p>
      <w:pPr>
        <w:spacing w:after="120"/>
      </w:pPr>
      <w:r>
        <w:rPr>
          <w:rFonts w:ascii="Arial" w:cs="Arial" w:eastAsia="Arial" w:hAnsi="Arial"/>
          <w:sz w:val="22"/>
          <w:szCs w:val="22"/>
        </w:rPr>
        <w:t xml:space="preserve">3. FedNova and SCAFFOLD show higher variance, requiring careful tuning or sparsification for stable deployment.</w:t>
      </w:r>
    </w:p>
    <w:p>
      <w:pPr>
        <w:spacing w:after="120"/>
      </w:pPr>
      <w:r>
        <w:rPr>
          <w:rFonts w:ascii="Arial" w:cs="Arial" w:eastAsia="Arial" w:hAnsi="Arial"/>
          <w:sz w:val="22"/>
          <w:szCs w:val="22"/>
        </w:rPr>
        <w:t xml:space="preserve">4. PersFL consistently achieves near-perfect fairness (JFI ≈ 1.000), making it the recommended algorithm for equitable multi-client deployments.</w:t>
      </w:r>
    </w:p>
    <w:p>
      <w:pPr>
        <w:spacing w:after="120"/>
      </w:pPr>
      <w:r>
        <w:rPr>
          <w:rFonts w:ascii="Arial" w:cs="Arial" w:eastAsia="Arial" w:hAnsi="Arial"/>
          <w:sz w:val="22"/>
          <w:szCs w:val="22"/>
        </w:rPr>
        <w:t xml:space="preserve">5. Sparsification reduces communication cost with acceptable performance in LR but shows mixed results in MLP (good for SCAFFOLD, poor for FedNova).</w:t>
      </w:r>
    </w:p>
    <w:p>
      <w:pPr>
        <w:spacing w:after="100"/>
      </w:pPr>
      <w:r>
        <w:t xml:space="preserve"/>
      </w:r>
    </w:p>
    <w:p>
      <w:pPr>
        <w:spacing w:before="400"/>
        <w:jc w:val="center"/>
      </w:pPr>
      <w:r>
        <w:rPr>
          <w:rFonts w:ascii="Arial" w:cs="Arial" w:eastAsia="Arial" w:hAnsi="Arial"/>
          <w:i/>
          <w:iCs/>
          <w:color w:val="9CA3AF"/>
          <w:sz w:val="18"/>
          <w:szCs w:val="18"/>
        </w:rPr>
        <w:t xml:space="preserve">Generated April 2026 | Federated Learning Fraud Detection Research</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0e5697c5845097486bd5baa756485fda1766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2026-04-02T05:47:20.663Z</dcterms:created>
  <dcterms:modified xsi:type="dcterms:W3CDTF">2026-04-02T05:47:20.664Z</dcterms:modified>
</cp:coreProperties>
</file>

<file path=docProps/custom.xml><?xml version="1.0" encoding="utf-8"?>
<Properties xmlns="http://schemas.openxmlformats.org/officeDocument/2006/custom-properties" xmlns:vt="http://schemas.openxmlformats.org/officeDocument/2006/docPropsVTypes"/>
</file>