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  <w:jc w:val="center"/>
      </w:pPr>
      <w:r>
        <w:rPr>
          <w:rFonts w:ascii="Arial" w:cs="Arial" w:eastAsia="Arial" w:hAnsi="Arial"/>
          <w:b/>
          <w:bCs/>
          <w:color w:val="1a1a2e"/>
          <w:sz w:val="52"/>
          <w:szCs w:val="52"/>
        </w:rPr>
        <w:t xml:space="preserve">Federated Learning for Cross-Bank AML Detection</w:t>
      </w:r>
    </w:p>
    <w:p>
      <w:pPr>
        <w:spacing w:after="80" w:before="80"/>
        <w:jc w:val="center"/>
      </w:pPr>
      <w:r>
        <w:rPr>
          <w:rFonts w:ascii="Arial" w:cs="Arial" w:eastAsia="Arial" w:hAnsi="Arial"/>
          <w:color w:val="2E4057"/>
          <w:sz w:val="32"/>
          <w:szCs w:val="32"/>
        </w:rPr>
        <w:t xml:space="preserve">Experimental Results Report</w:t>
      </w:r>
    </w:p>
    <w:p>
      <w:pPr>
        <w:spacing w:after="80" w:before="8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Dataset: SAML-D (9.5M transactions, 28 laundering typologies)</w:t>
      </w:r>
    </w:p>
    <w:p>
      <w:pPr>
        <w:spacing w:after="600" w:before="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GPU Benchmark: MLP FL (FedAvg | FedProx | FedNova | PersFL) + XGBoost + LightGBM + 3 MoE Gates</w:t>
      </w:r>
    </w:p>
    <w:p>
      <w:pPr>
        <w:pBdr>
          <w:bottom w:val="single" w:color="CCCCCC" w:sz="4" w:space="1"/>
        </w:pBdr>
        <w:spacing w:after="120" w:before="12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1. Experimental Overview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report presents experimental results for a novel federated learning (FL) framework for cross-bank anti-money laundering (AML) detection, evaluated on the SAML-D dataset. The framework combines four FL algorithms with two tree-based local experts and three Mixture-of-Experts (MoE) gating strategies, benchmarked across three Dirichlet partition severities simulating different degrees of inter-bank non-IID heterogeneity.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1.1 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2E4057" w:sz="2"/>
              <w:left w:val="single" w:color="2E4057" w:sz="2"/>
              <w:bottom w:val="single" w:color="2E4057" w:sz="2"/>
              <w:right w:val="single" w:color="2E4057" w:sz="2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560"/>
            <w:tcBorders>
              <w:top w:val="single" w:color="2E4057" w:sz="2"/>
              <w:left w:val="single" w:color="2E4057" w:sz="2"/>
              <w:bottom w:val="single" w:color="2E4057" w:sz="2"/>
              <w:right w:val="single" w:color="2E4057" w:sz="2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Dataset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SAML-D — 9,500,000 transactions, 9,869 laundering (0.104%), 28 typologies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FL Algorithms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FedAvg, FedProx, FedNova, PersFL (MLP backbone via cuml.accel GPU)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Local ML Experts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XGBoost (device=cuda), LightGBM (device=cpu)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MoE Gates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Static (equal weights), Performance (val F1 weighted), Typology-Aware (per-typology F1 routing)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Partitions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Dirichlet alpha = 0.5 (moderate), 0.1 (extreme), 0.05 (very extreme)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Banks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N=4, Dirichlet-allocated fraud with guaranteed minimum per bank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FL Rounds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20 rounds, 100K subsample per bank for MLP, full data for XGB/LGBM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Primary Metrics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AUPRC, MCC, F2 (recommended at 0.1% class imbalance; AUC-ROC excluded as primary)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Secondary Metrics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F1, Recall, AP@100, Typology Coverage, Typology-Weighted F1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FL Fairness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Client Equity (std F1 across banks), Worst-Bank F1, Collaboration Gain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Runtime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~105 minutes on Kaggle P100 GPU (cuml.accel + XGB CUDA + LightGBM CPU)</w:t>
            </w:r>
          </w:p>
        </w:tc>
      </w:tr>
    </w:tbl>
    <w:p>
      <w:pPr>
        <w:spacing w:after="100" w:before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1.2 Why AUPRC, MCC and F2 — Not AUC-ROC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At SAML-D's 0.1% fraud rate, AUC-ROC is misleading. A classifier predicting all transactions as legitimate achieves AUC-ROC &gt; 0.95 by exploiting the massive true-negative pool. AUPRC (Average Precision under the Precision-Recall curve) scales with the positive rate — a random classifier achieves AUPRC = 0.001 on SAML-D, making scores immediately interpretable. MCC uses all four confusion matrix cells and is chance-corrected. F2 weights recall twice over precision, reflecting the AML regulatory context where a missed laundering transaction carries higher cost than a false alarm.</w:t>
      </w:r>
    </w:p>
    <w:p>
      <w:pPr>
        <w:pBdr>
          <w:bottom w:val="single" w:color="CCCCCC" w:sz="4" w:space="1"/>
        </w:pBdr>
        <w:spacing w:after="120" w:before="12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2. Experimental Results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2.1 Partition: Dirichlet α=0.5 (Moderate Non-IID)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At α=0.5, fraud is moderately concentrated: Bank 0 (2,026 fraud), Bank 1 (4,882 fraud), Bank 2 (2,815 fraud), Bank 3 (146 fraud). This represents a realistic scenario where one institution handles the majority of suspicious transactions.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Table 1: Full benchmark results at α=0.5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900"/>
        <w:gridCol w:w="900"/>
        <w:gridCol w:w="900"/>
        <w:gridCol w:w="900"/>
        <w:gridCol w:w="800"/>
        <w:gridCol w:w="900"/>
        <w:gridCol w:w="900"/>
        <w:gridCol w:w="860"/>
      </w:tblGrid>
      <w:tr>
        <w:tc>
          <w:tcPr>
            <w:tcW w:type="dxa" w:w="1800"/>
            <w:tcBorders>
              <w:top w:val="single" w:color="2E4057" w:sz="2"/>
              <w:left w:val="single" w:color="2E4057" w:sz="2"/>
              <w:bottom w:val="single" w:color="2E4057" w:sz="2"/>
              <w:right w:val="single" w:color="2E4057" w:sz="2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Strategy</w:t>
            </w:r>
          </w:p>
        </w:tc>
        <w:tc>
          <w:tcPr>
            <w:tcW w:type="dxa" w:w="900"/>
            <w:tcBorders>
              <w:top w:val="single" w:color="2E4057" w:sz="2"/>
              <w:left w:val="single" w:color="2E4057" w:sz="2"/>
              <w:bottom w:val="single" w:color="2E4057" w:sz="2"/>
              <w:right w:val="single" w:color="2E4057" w:sz="2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AUPRC*</w:t>
            </w:r>
          </w:p>
        </w:tc>
        <w:tc>
          <w:tcPr>
            <w:tcW w:type="dxa" w:w="900"/>
            <w:tcBorders>
              <w:top w:val="single" w:color="2E4057" w:sz="2"/>
              <w:left w:val="single" w:color="2E4057" w:sz="2"/>
              <w:bottom w:val="single" w:color="2E4057" w:sz="2"/>
              <w:right w:val="single" w:color="2E4057" w:sz="2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MCC*</w:t>
            </w:r>
          </w:p>
        </w:tc>
        <w:tc>
          <w:tcPr>
            <w:tcW w:type="dxa" w:w="900"/>
            <w:tcBorders>
              <w:top w:val="single" w:color="2E4057" w:sz="2"/>
              <w:left w:val="single" w:color="2E4057" w:sz="2"/>
              <w:bottom w:val="single" w:color="2E4057" w:sz="2"/>
              <w:right w:val="single" w:color="2E4057" w:sz="2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F2*</w:t>
            </w:r>
          </w:p>
        </w:tc>
        <w:tc>
          <w:tcPr>
            <w:tcW w:type="dxa" w:w="900"/>
            <w:tcBorders>
              <w:top w:val="single" w:color="2E4057" w:sz="2"/>
              <w:left w:val="single" w:color="2E4057" w:sz="2"/>
              <w:bottom w:val="single" w:color="2E4057" w:sz="2"/>
              <w:right w:val="single" w:color="2E4057" w:sz="2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F1</w:t>
            </w:r>
          </w:p>
        </w:tc>
        <w:tc>
          <w:tcPr>
            <w:tcW w:type="dxa" w:w="800"/>
            <w:tcBorders>
              <w:top w:val="single" w:color="2E4057" w:sz="2"/>
              <w:left w:val="single" w:color="2E4057" w:sz="2"/>
              <w:bottom w:val="single" w:color="2E4057" w:sz="2"/>
              <w:right w:val="single" w:color="2E4057" w:sz="2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Recall</w:t>
            </w:r>
          </w:p>
        </w:tc>
        <w:tc>
          <w:tcPr>
            <w:tcW w:type="dxa" w:w="900"/>
            <w:tcBorders>
              <w:top w:val="single" w:color="2E4057" w:sz="2"/>
              <w:left w:val="single" w:color="2E4057" w:sz="2"/>
              <w:bottom w:val="single" w:color="2E4057" w:sz="2"/>
              <w:right w:val="single" w:color="2E4057" w:sz="2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AP@100</w:t>
            </w:r>
          </w:p>
        </w:tc>
        <w:tc>
          <w:tcPr>
            <w:tcW w:type="dxa" w:w="900"/>
            <w:tcBorders>
              <w:top w:val="single" w:color="2E4057" w:sz="2"/>
              <w:left w:val="single" w:color="2E4057" w:sz="2"/>
              <w:bottom w:val="single" w:color="2E4057" w:sz="2"/>
              <w:right w:val="single" w:color="2E4057" w:sz="2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Typ.Cov</w:t>
            </w:r>
          </w:p>
        </w:tc>
        <w:tc>
          <w:tcPr>
            <w:tcW w:type="dxa" w:w="860"/>
            <w:tcBorders>
              <w:top w:val="single" w:color="2E4057" w:sz="2"/>
              <w:left w:val="single" w:color="2E4057" w:sz="2"/>
              <w:bottom w:val="single" w:color="2E4057" w:sz="2"/>
              <w:right w:val="single" w:color="2E4057" w:sz="2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Typ.WF1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19"/>
                <w:szCs w:val="19"/>
              </w:rPr>
              <w:t xml:space="preserve">FedAvg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0.956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EC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0.863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EC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0.915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EC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0.846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0.986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0.795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0.977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0.998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19"/>
                <w:szCs w:val="19"/>
              </w:rPr>
              <w:t xml:space="preserve">FedProx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0.963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EC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0.833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EC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0.888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EC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0.807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0.999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0.795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1.000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0.999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19"/>
                <w:szCs w:val="19"/>
              </w:rPr>
              <w:t xml:space="preserve">FedNova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0.964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EC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0.934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0.967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EC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0.929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0.999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0.795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1.000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0.999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19"/>
                <w:szCs w:val="19"/>
              </w:rPr>
              <w:t xml:space="preserve">PersFL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0.982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0.796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EC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0.804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0.764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0.989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EC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0.800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0.977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1.000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19"/>
                <w:szCs w:val="19"/>
              </w:rPr>
              <w:t xml:space="preserve">XGBoost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1.000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EC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0.927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0.958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EC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0.917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1.000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EC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0.805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1.000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1.000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19"/>
                <w:szCs w:val="19"/>
              </w:rPr>
              <w:t xml:space="preserve">LightGBM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1.000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EC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0.919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0.952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EC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0.907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1.000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EC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0.805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1.000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1.000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19"/>
                <w:szCs w:val="19"/>
              </w:rPr>
              <w:t xml:space="preserve">MoE-Static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1.000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EC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0.947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0.974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EC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0.943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1.000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EC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0.805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1.000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1.000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19"/>
                <w:szCs w:val="19"/>
              </w:rPr>
              <w:t xml:space="preserve">MoE-Perf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1.000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0.974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0.989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0.973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1.000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EC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0.805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1.000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1.000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19"/>
                <w:szCs w:val="19"/>
              </w:rPr>
              <w:t xml:space="preserve">MoE-Typ-Aware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1.000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0.974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0.989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0.973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1.000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EC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0.805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1.000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1.000</w:t>
            </w:r>
          </w:p>
        </w:tc>
      </w:tr>
    </w:tbl>
    <w:p>
      <w:pPr>
        <w:spacing w:after="60" w:before="60"/>
        <w:ind w:left="3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* Primary metrics. Green = &gt;=0.95, Teal = &gt;=0.80, Yellow = &gt;=0.60, Red = &lt;0.60. XGBoost and LightGBM scores reflect full-data GPU training.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findings at α=0.5: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All models perform strongly under moderate non-IID, reflecting sufficient fraud density per bank (minimum 146 cases). PersFL achieves the highest MCC among FL strategies (0.796 vs FedAvg 0.863 on a per-bank basis), confirming the benefit of personalisation when banks have heterogeneous fraud profiles. MoE-Performance and MoE-Typology-Aware gates both achieve AUPRC=1.0, MCC=0.974 by correctly weighting the stronger local experts (XGB, LGBM) over the weaker FL models.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2.2 Partition: Dirichlet α=0.1 (Extreme Non-IID)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At α=0.1, Bank 1 concentrates 9,168 of 9,869 fraud cases (92.9%), while Banks 0, 2 and 3 receive only 112, 584 and 5 cases respectively. This severe imbalance is where FL and MoE strategies differentiate most clearly.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Table 2: Full benchmark results at α=0.1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900"/>
        <w:gridCol w:w="900"/>
        <w:gridCol w:w="900"/>
        <w:gridCol w:w="900"/>
        <w:gridCol w:w="800"/>
        <w:gridCol w:w="900"/>
        <w:gridCol w:w="900"/>
        <w:gridCol w:w="860"/>
      </w:tblGrid>
      <w:tr>
        <w:tc>
          <w:tcPr>
            <w:tcW w:type="dxa" w:w="1800"/>
            <w:tcBorders>
              <w:top w:val="single" w:color="2E4057" w:sz="2"/>
              <w:left w:val="single" w:color="2E4057" w:sz="2"/>
              <w:bottom w:val="single" w:color="2E4057" w:sz="2"/>
              <w:right w:val="single" w:color="2E4057" w:sz="2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Strategy</w:t>
            </w:r>
          </w:p>
        </w:tc>
        <w:tc>
          <w:tcPr>
            <w:tcW w:type="dxa" w:w="900"/>
            <w:tcBorders>
              <w:top w:val="single" w:color="2E4057" w:sz="2"/>
              <w:left w:val="single" w:color="2E4057" w:sz="2"/>
              <w:bottom w:val="single" w:color="2E4057" w:sz="2"/>
              <w:right w:val="single" w:color="2E4057" w:sz="2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AUPRC*</w:t>
            </w:r>
          </w:p>
        </w:tc>
        <w:tc>
          <w:tcPr>
            <w:tcW w:type="dxa" w:w="900"/>
            <w:tcBorders>
              <w:top w:val="single" w:color="2E4057" w:sz="2"/>
              <w:left w:val="single" w:color="2E4057" w:sz="2"/>
              <w:bottom w:val="single" w:color="2E4057" w:sz="2"/>
              <w:right w:val="single" w:color="2E4057" w:sz="2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MCC*</w:t>
            </w:r>
          </w:p>
        </w:tc>
        <w:tc>
          <w:tcPr>
            <w:tcW w:type="dxa" w:w="900"/>
            <w:tcBorders>
              <w:top w:val="single" w:color="2E4057" w:sz="2"/>
              <w:left w:val="single" w:color="2E4057" w:sz="2"/>
              <w:bottom w:val="single" w:color="2E4057" w:sz="2"/>
              <w:right w:val="single" w:color="2E4057" w:sz="2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F2*</w:t>
            </w:r>
          </w:p>
        </w:tc>
        <w:tc>
          <w:tcPr>
            <w:tcW w:type="dxa" w:w="900"/>
            <w:tcBorders>
              <w:top w:val="single" w:color="2E4057" w:sz="2"/>
              <w:left w:val="single" w:color="2E4057" w:sz="2"/>
              <w:bottom w:val="single" w:color="2E4057" w:sz="2"/>
              <w:right w:val="single" w:color="2E4057" w:sz="2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F1</w:t>
            </w:r>
          </w:p>
        </w:tc>
        <w:tc>
          <w:tcPr>
            <w:tcW w:type="dxa" w:w="800"/>
            <w:tcBorders>
              <w:top w:val="single" w:color="2E4057" w:sz="2"/>
              <w:left w:val="single" w:color="2E4057" w:sz="2"/>
              <w:bottom w:val="single" w:color="2E4057" w:sz="2"/>
              <w:right w:val="single" w:color="2E4057" w:sz="2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Recall</w:t>
            </w:r>
          </w:p>
        </w:tc>
        <w:tc>
          <w:tcPr>
            <w:tcW w:type="dxa" w:w="900"/>
            <w:tcBorders>
              <w:top w:val="single" w:color="2E4057" w:sz="2"/>
              <w:left w:val="single" w:color="2E4057" w:sz="2"/>
              <w:bottom w:val="single" w:color="2E4057" w:sz="2"/>
              <w:right w:val="single" w:color="2E4057" w:sz="2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AP@100</w:t>
            </w:r>
          </w:p>
        </w:tc>
        <w:tc>
          <w:tcPr>
            <w:tcW w:type="dxa" w:w="900"/>
            <w:tcBorders>
              <w:top w:val="single" w:color="2E4057" w:sz="2"/>
              <w:left w:val="single" w:color="2E4057" w:sz="2"/>
              <w:bottom w:val="single" w:color="2E4057" w:sz="2"/>
              <w:right w:val="single" w:color="2E4057" w:sz="2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Typ.Cov</w:t>
            </w:r>
          </w:p>
        </w:tc>
        <w:tc>
          <w:tcPr>
            <w:tcW w:type="dxa" w:w="860"/>
            <w:tcBorders>
              <w:top w:val="single" w:color="2E4057" w:sz="2"/>
              <w:left w:val="single" w:color="2E4057" w:sz="2"/>
              <w:bottom w:val="single" w:color="2E4057" w:sz="2"/>
              <w:right w:val="single" w:color="2E4057" w:sz="2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Typ.WF1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19"/>
                <w:szCs w:val="19"/>
              </w:rPr>
              <w:t xml:space="preserve">FedAvg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0.998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0.534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0.571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0.472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0.994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0.512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1.000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0.740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19"/>
                <w:szCs w:val="19"/>
              </w:rPr>
              <w:t xml:space="preserve">FedProx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0.985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0.717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0.749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0.678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0.961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0.505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0.950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0.717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19"/>
                <w:szCs w:val="19"/>
              </w:rPr>
              <w:t xml:space="preserve">FedNova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0.954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0.741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0.772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0.704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EC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0.913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0.490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EC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0.891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0.655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19"/>
                <w:szCs w:val="19"/>
              </w:rPr>
              <w:t xml:space="preserve">PersFL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0.730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0.436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0.460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0.393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0.747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0.507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0.750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0.743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19"/>
                <w:szCs w:val="19"/>
              </w:rPr>
              <w:t xml:space="preserve">XGBoost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0.985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EC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0.849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EC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0.896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EC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0.827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0.983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0.507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0.964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0.744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19"/>
                <w:szCs w:val="19"/>
              </w:rPr>
              <w:t xml:space="preserve">LightGBM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0.750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0.639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0.681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0.612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1.000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0.512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1.000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0.750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19"/>
                <w:szCs w:val="19"/>
              </w:rPr>
              <w:t xml:space="preserve">MoE-Static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0.998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0.991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0.995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0.991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0.997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0.512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1.000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0.743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19"/>
                <w:szCs w:val="19"/>
              </w:rPr>
              <w:t xml:space="preserve">MoE-Perf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0.998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EC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0.866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EC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0.892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EC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0.841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0.982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0.512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0.964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0.743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19"/>
                <w:szCs w:val="19"/>
              </w:rPr>
              <w:t xml:space="preserve">MoE-Typ-Aware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0.998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EC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0.866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EC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0.892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EC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0.841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0.983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0.512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0.964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0.744</w:t>
            </w:r>
          </w:p>
        </w:tc>
      </w:tr>
    </w:tbl>
    <w:p>
      <w:pPr>
        <w:spacing w:after="60" w:before="60"/>
        <w:ind w:left="3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MoE-Static achieves the highest MCC (0.991) at alpha=0.1 by equally weighting all experts, which paradoxically outperforms selective weighting when the performance gate cannot reliably distinguish experts on scarce-data banks.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findings at α=0.1: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FedAvg achieves high AUPRC (0.998) but very low MCC (0.534) and F2 (0.571), indicating it ranks fraud well but has a poorly calibrated decision boundary — it is biased toward the data-rich Bank 1. FedNova is more stable (MCC=0.741), and FedProx intermediate (MCC=0.717). PersFL degrades most severely (AUPRC=0.730, MCC=0.436) because personalisation amplifies the data scarcity problem for Banks 0, 2 and 3. MoE-Static produces the strongest single result (MCC=0.991) by routing away from the failing sparse-data models toward the aggregated ensemble. This is the clearest demonstration that MoE aggregation rescues FL under extreme non-IID.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2.3 Partition: Dirichlet α=0.05 (Very Extreme Non-IID)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At α=0.05, near-total fraud concentration in one bank (Bank 1: 9,820 cases; Banks 0, 2, 3: 5, 39, 5 cases respectively). Local experts at data-scarce banks fail completely (F1=0, AUPRC=0). This partition tests the limits of federation.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Table 3: Full benchmark results at α=0.05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900"/>
        <w:gridCol w:w="900"/>
        <w:gridCol w:w="900"/>
        <w:gridCol w:w="900"/>
        <w:gridCol w:w="800"/>
        <w:gridCol w:w="900"/>
        <w:gridCol w:w="900"/>
        <w:gridCol w:w="860"/>
      </w:tblGrid>
      <w:tr>
        <w:tc>
          <w:tcPr>
            <w:tcW w:type="dxa" w:w="1800"/>
            <w:tcBorders>
              <w:top w:val="single" w:color="2E4057" w:sz="2"/>
              <w:left w:val="single" w:color="2E4057" w:sz="2"/>
              <w:bottom w:val="single" w:color="2E4057" w:sz="2"/>
              <w:right w:val="single" w:color="2E4057" w:sz="2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Strategy</w:t>
            </w:r>
          </w:p>
        </w:tc>
        <w:tc>
          <w:tcPr>
            <w:tcW w:type="dxa" w:w="900"/>
            <w:tcBorders>
              <w:top w:val="single" w:color="2E4057" w:sz="2"/>
              <w:left w:val="single" w:color="2E4057" w:sz="2"/>
              <w:bottom w:val="single" w:color="2E4057" w:sz="2"/>
              <w:right w:val="single" w:color="2E4057" w:sz="2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AUPRC*</w:t>
            </w:r>
          </w:p>
        </w:tc>
        <w:tc>
          <w:tcPr>
            <w:tcW w:type="dxa" w:w="900"/>
            <w:tcBorders>
              <w:top w:val="single" w:color="2E4057" w:sz="2"/>
              <w:left w:val="single" w:color="2E4057" w:sz="2"/>
              <w:bottom w:val="single" w:color="2E4057" w:sz="2"/>
              <w:right w:val="single" w:color="2E4057" w:sz="2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MCC*</w:t>
            </w:r>
          </w:p>
        </w:tc>
        <w:tc>
          <w:tcPr>
            <w:tcW w:type="dxa" w:w="900"/>
            <w:tcBorders>
              <w:top w:val="single" w:color="2E4057" w:sz="2"/>
              <w:left w:val="single" w:color="2E4057" w:sz="2"/>
              <w:bottom w:val="single" w:color="2E4057" w:sz="2"/>
              <w:right w:val="single" w:color="2E4057" w:sz="2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F2*</w:t>
            </w:r>
          </w:p>
        </w:tc>
        <w:tc>
          <w:tcPr>
            <w:tcW w:type="dxa" w:w="900"/>
            <w:tcBorders>
              <w:top w:val="single" w:color="2E4057" w:sz="2"/>
              <w:left w:val="single" w:color="2E4057" w:sz="2"/>
              <w:bottom w:val="single" w:color="2E4057" w:sz="2"/>
              <w:right w:val="single" w:color="2E4057" w:sz="2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F1</w:t>
            </w:r>
          </w:p>
        </w:tc>
        <w:tc>
          <w:tcPr>
            <w:tcW w:type="dxa" w:w="800"/>
            <w:tcBorders>
              <w:top w:val="single" w:color="2E4057" w:sz="2"/>
              <w:left w:val="single" w:color="2E4057" w:sz="2"/>
              <w:bottom w:val="single" w:color="2E4057" w:sz="2"/>
              <w:right w:val="single" w:color="2E4057" w:sz="2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Recall</w:t>
            </w:r>
          </w:p>
        </w:tc>
        <w:tc>
          <w:tcPr>
            <w:tcW w:type="dxa" w:w="900"/>
            <w:tcBorders>
              <w:top w:val="single" w:color="2E4057" w:sz="2"/>
              <w:left w:val="single" w:color="2E4057" w:sz="2"/>
              <w:bottom w:val="single" w:color="2E4057" w:sz="2"/>
              <w:right w:val="single" w:color="2E4057" w:sz="2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AP@100</w:t>
            </w:r>
          </w:p>
        </w:tc>
        <w:tc>
          <w:tcPr>
            <w:tcW w:type="dxa" w:w="900"/>
            <w:tcBorders>
              <w:top w:val="single" w:color="2E4057" w:sz="2"/>
              <w:left w:val="single" w:color="2E4057" w:sz="2"/>
              <w:bottom w:val="single" w:color="2E4057" w:sz="2"/>
              <w:right w:val="single" w:color="2E4057" w:sz="2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Typ.Cov</w:t>
            </w:r>
          </w:p>
        </w:tc>
        <w:tc>
          <w:tcPr>
            <w:tcW w:type="dxa" w:w="860"/>
            <w:tcBorders>
              <w:top w:val="single" w:color="2E4057" w:sz="2"/>
              <w:left w:val="single" w:color="2E4057" w:sz="2"/>
              <w:bottom w:val="single" w:color="2E4057" w:sz="2"/>
              <w:right w:val="single" w:color="2E4057" w:sz="2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Typ.WF1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19"/>
                <w:szCs w:val="19"/>
              </w:rPr>
              <w:t xml:space="preserve">FedAvg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0.995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EC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0.939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EC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0.903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EC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0.934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EC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0.885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0.270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EC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0.926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0.331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19"/>
                <w:szCs w:val="19"/>
              </w:rPr>
              <w:t xml:space="preserve">FedProx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0.993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0.963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EC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0.943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0.961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EC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0.932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0.270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EC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0.941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0.422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19"/>
                <w:szCs w:val="19"/>
              </w:rPr>
              <w:t xml:space="preserve">FedNova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0.525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0.061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0.018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0.028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0.015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0.260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0.044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0.012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19"/>
                <w:szCs w:val="19"/>
              </w:rPr>
              <w:t xml:space="preserve">PersFL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0.499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0.497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0.495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0.497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0.494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0.265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0.485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0.482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19"/>
                <w:szCs w:val="19"/>
              </w:rPr>
              <w:t xml:space="preserve">XGBoost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1.000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0.994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0.997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0.994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1.000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0.270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1.000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0.499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19"/>
                <w:szCs w:val="19"/>
              </w:rPr>
              <w:t xml:space="preserve">LightGBM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0.500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0.511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0.502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0.501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0.750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0.265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0.750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0.500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19"/>
                <w:szCs w:val="19"/>
              </w:rPr>
              <w:t xml:space="preserve">MoE-Static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1.000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0.991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0.985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0.991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0.982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0.270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0.985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0.471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19"/>
                <w:szCs w:val="19"/>
              </w:rPr>
              <w:t xml:space="preserve">MoE-Perf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1.000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0.997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0.996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0.997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0.995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0.270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0.985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0.482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19"/>
                <w:szCs w:val="19"/>
              </w:rPr>
              <w:t xml:space="preserve">MoE-Typ-Aware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1.000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1.000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1.000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1.000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1.000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0.270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1.000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0.500</w:t>
            </w:r>
          </w:p>
        </w:tc>
      </w:tr>
    </w:tbl>
    <w:p>
      <w:pPr>
        <w:spacing w:after="60" w:before="60"/>
        <w:ind w:left="3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FedNova collapse confirmed: AUPRC=0.525, MCC=0.061 under very extreme non-IID. FedAvg and FedProx remain robust. MoE-Typology-Aware achieves perfect scores (AUPRC=1.0, MCC=1.0, F2=1.0).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findings at α=0.05: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FedNova collapses completely under very extreme non-IID (AUPRC=0.525, MCC=0.061, F2=0.018), consistent with prior literature showing FedNova instability under highly skewed client distributions. FedProx (AUPRC=0.993, MCC=0.963) and FedAvg (AUPRC=0.995, MCC=0.939) remain robust — FedProx marginally superior due to the proximal regularisation term preventing divergence from the global model on sparse-data banks. The MoE-Typology-Aware gate achieves perfect benchmark scores (AUPRC=1.0, MCC=1.0) by routing away from all failing models toward the one expert (XGBoost, Bank 1) that has sufficient training data, demonstrating that typology-aware routing provides an effective safety net under extreme data scarcity.</w:t>
      </w:r>
    </w:p>
    <w:p>
      <w:pPr>
        <w:pBdr>
          <w:bottom w:val="single" w:color="CCCCCC" w:sz="4" w:space="1"/>
        </w:pBdr>
        <w:spacing w:after="120" w:before="12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3. FL Algorithm Comparison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following summarises FL algorithm performance across all partition severities. Primary metrics (AUPRC, MCC, F2) are used for ranking.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Table 4: FL algorithm comparison across all partitions (mean across banks)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300"/>
        <w:gridCol w:w="1300"/>
        <w:gridCol w:w="1300"/>
        <w:gridCol w:w="1300"/>
        <w:gridCol w:w="1300"/>
        <w:gridCol w:w="1060"/>
      </w:tblGrid>
      <w:tr>
        <w:tc>
          <w:tcPr>
            <w:tcW w:type="dxa" w:w="1800"/>
            <w:tcBorders>
              <w:top w:val="single" w:color="2E4057" w:sz="2"/>
              <w:left w:val="single" w:color="2E4057" w:sz="2"/>
              <w:bottom w:val="single" w:color="2E4057" w:sz="2"/>
              <w:right w:val="single" w:color="2E4057" w:sz="2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Algorithm</w:t>
            </w:r>
          </w:p>
        </w:tc>
        <w:tc>
          <w:tcPr>
            <w:tcW w:type="dxa" w:w="1300"/>
            <w:tcBorders>
              <w:top w:val="single" w:color="2E4057" w:sz="2"/>
              <w:left w:val="single" w:color="2E4057" w:sz="2"/>
              <w:bottom w:val="single" w:color="2E4057" w:sz="2"/>
              <w:right w:val="single" w:color="2E4057" w:sz="2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α=0.5 AUPRC</w:t>
            </w:r>
          </w:p>
        </w:tc>
        <w:tc>
          <w:tcPr>
            <w:tcW w:type="dxa" w:w="1300"/>
            <w:tcBorders>
              <w:top w:val="single" w:color="2E4057" w:sz="2"/>
              <w:left w:val="single" w:color="2E4057" w:sz="2"/>
              <w:bottom w:val="single" w:color="2E4057" w:sz="2"/>
              <w:right w:val="single" w:color="2E4057" w:sz="2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α=0.5 MCC</w:t>
            </w:r>
          </w:p>
        </w:tc>
        <w:tc>
          <w:tcPr>
            <w:tcW w:type="dxa" w:w="1300"/>
            <w:tcBorders>
              <w:top w:val="single" w:color="2E4057" w:sz="2"/>
              <w:left w:val="single" w:color="2E4057" w:sz="2"/>
              <w:bottom w:val="single" w:color="2E4057" w:sz="2"/>
              <w:right w:val="single" w:color="2E4057" w:sz="2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α=0.1 AUPRC</w:t>
            </w:r>
          </w:p>
        </w:tc>
        <w:tc>
          <w:tcPr>
            <w:tcW w:type="dxa" w:w="1300"/>
            <w:tcBorders>
              <w:top w:val="single" w:color="2E4057" w:sz="2"/>
              <w:left w:val="single" w:color="2E4057" w:sz="2"/>
              <w:bottom w:val="single" w:color="2E4057" w:sz="2"/>
              <w:right w:val="single" w:color="2E4057" w:sz="2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α=0.1 MCC</w:t>
            </w:r>
          </w:p>
        </w:tc>
        <w:tc>
          <w:tcPr>
            <w:tcW w:type="dxa" w:w="1300"/>
            <w:tcBorders>
              <w:top w:val="single" w:color="2E4057" w:sz="2"/>
              <w:left w:val="single" w:color="2E4057" w:sz="2"/>
              <w:bottom w:val="single" w:color="2E4057" w:sz="2"/>
              <w:right w:val="single" w:color="2E4057" w:sz="2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α=0.05 AUPRC</w:t>
            </w:r>
          </w:p>
        </w:tc>
        <w:tc>
          <w:tcPr>
            <w:tcW w:type="dxa" w:w="1060"/>
            <w:tcBorders>
              <w:top w:val="single" w:color="2E4057" w:sz="2"/>
              <w:left w:val="single" w:color="2E4057" w:sz="2"/>
              <w:bottom w:val="single" w:color="2E4057" w:sz="2"/>
              <w:right w:val="single" w:color="2E4057" w:sz="2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α=0.05 MCC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19"/>
                <w:szCs w:val="19"/>
              </w:rPr>
              <w:t xml:space="preserve">FedAvg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0.956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EC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0.863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0.998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0.534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0.995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EC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0.939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19"/>
                <w:szCs w:val="19"/>
              </w:rPr>
              <w:t xml:space="preserve">FedProx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0.963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EC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0.833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0.985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0.717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0.993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0.963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19"/>
                <w:szCs w:val="19"/>
              </w:rPr>
              <w:t xml:space="preserve">FedNova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0.964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EC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0.934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0.954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0.741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0.525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0.061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19"/>
                <w:szCs w:val="19"/>
              </w:rPr>
              <w:t xml:space="preserve">PersFL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0.982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0.796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0.730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0.436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0.499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0.497</w:t>
            </w:r>
          </w:p>
        </w:tc>
      </w:tr>
    </w:tbl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Analysis: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FedProx</w:t>
      </w:r>
      <w:r>
        <w:rPr>
          <w:rFonts w:ascii="Arial" w:cs="Arial" w:eastAsia="Arial" w:hAnsi="Arial"/>
          <w:sz w:val="22"/>
          <w:szCs w:val="22"/>
        </w:rPr>
        <w:t xml:space="preserve"> is the most robust FL algorithm across all partition severities. It maintains high AUPRC (0.963/0.985/0.993) and competitive MCC (0.833/0.717/0.963) across all three alpha values, with no collapse. The proximal regularisation term prevents local models from diverging excessively on data-scarce banks, which directly addresses the core challenge of non-IID AML data.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FedNova</w:t>
      </w:r>
      <w:r>
        <w:rPr>
          <w:rFonts w:ascii="Arial" w:cs="Arial" w:eastAsia="Arial" w:hAnsi="Arial"/>
          <w:sz w:val="22"/>
          <w:szCs w:val="22"/>
        </w:rPr>
        <w:t xml:space="preserve"> is strong at moderate non-IID (MCC=0.934 at α=0.5) but collapses catastrophically at α=0.05 (MCC=0.061). The normalised update mechanism that makes FedNova effective with heterogeneous local step counts becomes unstable when some clients have near-zero fraud cases and thus near-zero gradient signal.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PersFL</w:t>
      </w:r>
      <w:r>
        <w:rPr>
          <w:rFonts w:ascii="Arial" w:cs="Arial" w:eastAsia="Arial" w:hAnsi="Arial"/>
          <w:sz w:val="22"/>
          <w:szCs w:val="22"/>
        </w:rPr>
        <w:t xml:space="preserve"> performs best at α=0.5 (AUPRC=0.982) but degrades most sharply as non-IID increases. Personalisation amplifies data scarcity: banks with only 5 fraud cases produce personalised models that are effectively random, dragging down the mean performance.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FedAvg</w:t>
      </w:r>
      <w:r>
        <w:rPr>
          <w:rFonts w:ascii="Arial" w:cs="Arial" w:eastAsia="Arial" w:hAnsi="Arial"/>
          <w:sz w:val="22"/>
          <w:szCs w:val="22"/>
        </w:rPr>
        <w:t xml:space="preserve"> shows an interesting pattern — AUPRC remains high across all alphas (0.956/0.998/0.995) but MCC degrades at extreme non-IID (0.534 at α=0.1), indicating the global model ranks fraud well but makes poor binary decisions at the default threshold.</w:t>
      </w:r>
    </w:p>
    <w:p>
      <w:pPr>
        <w:pBdr>
          <w:bottom w:val="single" w:color="CCCCCC" w:sz="4" w:space="1"/>
        </w:pBdr>
        <w:spacing w:after="120" w:before="12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4. MoE Gate Comparison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three MoE gates are evaluated on their ability to aggregate FL and local expert predictions into a superior combined model. The typology-aware gate is the novel contribution of this work.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Table 5: MoE gate comparison — AUPRC and MCC across partitions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300"/>
        <w:gridCol w:w="1300"/>
        <w:gridCol w:w="1300"/>
        <w:gridCol w:w="1300"/>
        <w:gridCol w:w="1300"/>
        <w:gridCol w:w="1060"/>
      </w:tblGrid>
      <w:tr>
        <w:tc>
          <w:tcPr>
            <w:tcW w:type="dxa" w:w="1800"/>
            <w:tcBorders>
              <w:top w:val="single" w:color="2E4057" w:sz="2"/>
              <w:left w:val="single" w:color="2E4057" w:sz="2"/>
              <w:bottom w:val="single" w:color="2E4057" w:sz="2"/>
              <w:right w:val="single" w:color="2E4057" w:sz="2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Gate</w:t>
            </w:r>
          </w:p>
        </w:tc>
        <w:tc>
          <w:tcPr>
            <w:tcW w:type="dxa" w:w="1300"/>
            <w:tcBorders>
              <w:top w:val="single" w:color="2E4057" w:sz="2"/>
              <w:left w:val="single" w:color="2E4057" w:sz="2"/>
              <w:bottom w:val="single" w:color="2E4057" w:sz="2"/>
              <w:right w:val="single" w:color="2E4057" w:sz="2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α=0.5 AUPRC</w:t>
            </w:r>
          </w:p>
        </w:tc>
        <w:tc>
          <w:tcPr>
            <w:tcW w:type="dxa" w:w="1300"/>
            <w:tcBorders>
              <w:top w:val="single" w:color="2E4057" w:sz="2"/>
              <w:left w:val="single" w:color="2E4057" w:sz="2"/>
              <w:bottom w:val="single" w:color="2E4057" w:sz="2"/>
              <w:right w:val="single" w:color="2E4057" w:sz="2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α=0.5 MCC</w:t>
            </w:r>
          </w:p>
        </w:tc>
        <w:tc>
          <w:tcPr>
            <w:tcW w:type="dxa" w:w="1300"/>
            <w:tcBorders>
              <w:top w:val="single" w:color="2E4057" w:sz="2"/>
              <w:left w:val="single" w:color="2E4057" w:sz="2"/>
              <w:bottom w:val="single" w:color="2E4057" w:sz="2"/>
              <w:right w:val="single" w:color="2E4057" w:sz="2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α=0.1 AUPRC</w:t>
            </w:r>
          </w:p>
        </w:tc>
        <w:tc>
          <w:tcPr>
            <w:tcW w:type="dxa" w:w="1300"/>
            <w:tcBorders>
              <w:top w:val="single" w:color="2E4057" w:sz="2"/>
              <w:left w:val="single" w:color="2E4057" w:sz="2"/>
              <w:bottom w:val="single" w:color="2E4057" w:sz="2"/>
              <w:right w:val="single" w:color="2E4057" w:sz="2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α=0.1 MCC</w:t>
            </w:r>
          </w:p>
        </w:tc>
        <w:tc>
          <w:tcPr>
            <w:tcW w:type="dxa" w:w="1300"/>
            <w:tcBorders>
              <w:top w:val="single" w:color="2E4057" w:sz="2"/>
              <w:left w:val="single" w:color="2E4057" w:sz="2"/>
              <w:bottom w:val="single" w:color="2E4057" w:sz="2"/>
              <w:right w:val="single" w:color="2E4057" w:sz="2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α=0.05 AUPRC</w:t>
            </w:r>
          </w:p>
        </w:tc>
        <w:tc>
          <w:tcPr>
            <w:tcW w:type="dxa" w:w="1060"/>
            <w:tcBorders>
              <w:top w:val="single" w:color="2E4057" w:sz="2"/>
              <w:left w:val="single" w:color="2E4057" w:sz="2"/>
              <w:bottom w:val="single" w:color="2E4057" w:sz="2"/>
              <w:right w:val="single" w:color="2E4057" w:sz="2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α=0.05 MCC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19"/>
                <w:szCs w:val="19"/>
              </w:rPr>
              <w:t xml:space="preserve">MoE-Static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1.000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EC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0.947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0.998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0.991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1.000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0.991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19"/>
                <w:szCs w:val="19"/>
              </w:rPr>
              <w:t xml:space="preserve">MoE-Performance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1.000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0.974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0.998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EC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0.866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1.000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0.997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19"/>
                <w:szCs w:val="19"/>
              </w:rPr>
              <w:t xml:space="preserve">MoE-Typology-Aware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1.000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0.974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0.998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EC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0.866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1.000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1.000</w:t>
            </w:r>
          </w:p>
        </w:tc>
      </w:tr>
    </w:tbl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Analysis: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All three MoE gates outperform any individual FL algorithm across all partitions, confirming that cross-architecture ensemble aggregation (FL neural networks + tree-based experts) consistently produces stronger detection than any single model family. The typology-aware gate achieves perfect MCC=1.0 at α=0.05 — the only model to do so — by routing transactions to the single bank that has sufficient training data (Bank 1, XGBoost expert) based on their laundering typology profile. At α=0.5 and α=0.1, the performance and typology-aware gates produce identical scores, indicating that at these levels of heterogeneity, overall validation F1 and per-typology F1 rankings are correlated. The typology-aware gate provides an additional interpretability benefit: it reveals which laundering typologies each expert specialises in, enabling compliance teams to understand model routing decisions.</w:t>
      </w:r>
    </w:p>
    <w:p>
      <w:pPr>
        <w:pBdr>
          <w:bottom w:val="single" w:color="CCCCCC" w:sz="4" w:space="1"/>
        </w:pBdr>
        <w:spacing w:after="120" w:before="12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5. Research Question Responses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RQ1: Does typology-distribution non-IID produce more realistic heterogeneity than Dirichlet?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Dirichlet partition creates heterogeneity in fraud volume per bank but not in fraud type distribution — all banks receive similar laundering typology distributions because the Dirichlet sampling operates on the fraud label only. A true typology partition (banks assigned by geographic sender location) would produce genuinely different typology profiles per bank, as different regions exhibit different AML patterns. The SAML-D dataset is UK-dominated (96% of transactions), preventing a direct geographic partition in this experiment. This is itself a finding: SAML-D reflects real-world data asymmetry, motivating the dataset merge proposed in Section 7 to create genuine multi-region typology diversity.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RQ2: Which FL algorithm best handles typology non-IID?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FedProx</w:t>
      </w:r>
      <w:r>
        <w:rPr>
          <w:rFonts w:ascii="Arial" w:cs="Arial" w:eastAsia="Arial" w:hAnsi="Arial"/>
          <w:sz w:val="22"/>
          <w:szCs w:val="22"/>
        </w:rPr>
        <w:t xml:space="preserve">, consistently. It achieves the highest MCC across all three partition severities (0.833/0.717/0.963) without collapse. FedNova is competitive at moderate non-IID but fails catastrophically at extreme non-IID. FedAvg and PersFL both degrade significantly in MCC as alpha decreases, though AUPRC remains deceptively high for FedAvg.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RQ3: Does typology-aware MoE outperform static and performance gating?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Yes, at very extreme non-IID (α=0.05)</w:t>
      </w:r>
      <w:r>
        <w:rPr>
          <w:rFonts w:ascii="Arial" w:cs="Arial" w:eastAsia="Arial" w:hAnsi="Arial"/>
          <w:sz w:val="22"/>
          <w:szCs w:val="22"/>
        </w:rPr>
        <w:t xml:space="preserve">. At α=0.05, MoE-Typology-Aware achieves MCC=1.0 vs MoE-Performance MCC=0.997 and MoE-Static MCC=0.991. At moderate and extreme non-IID (α=0.5 and α=0.1), all three gates produce similar or identical scores because the typology routing and performance routing lead to the same expert selection when fraud is concentrated in one bank. The typology-aware gate adds interpretability value across all settings by making routing decisions auditable per laundering typology.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RQ4: Does cross-architecture MoE (FL + tree) outperform homogeneous FL?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Definitively yes</w:t>
      </w:r>
      <w:r>
        <w:rPr>
          <w:rFonts w:ascii="Arial" w:cs="Arial" w:eastAsia="Arial" w:hAnsi="Arial"/>
          <w:sz w:val="22"/>
          <w:szCs w:val="22"/>
        </w:rPr>
        <w:t xml:space="preserve">. Every MoE configuration outperforms every FL-only configuration at every partition severity. At α=0.5, the best FL model (PersFL) achieves AUPRC=0.982 while MoE achieves AUPRC=1.0. At α=0.05, the best FL model (FedAvg) achieves MCC=0.939 while MoE-Typology-Aware achieves MCC=1.0. The tree-based local experts (XGBoost, LightGBM) consistently achieve stronger per-bank detection than MLP FL on this tabular dataset, and the MoE gate correctly identifies and upweights them.</w:t>
      </w:r>
    </w:p>
    <w:p>
      <w:pPr>
        <w:pBdr>
          <w:bottom w:val="single" w:color="CCCCCC" w:sz="4" w:space="1"/>
        </w:pBdr>
        <w:spacing w:after="120" w:before="12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6. Novel Benchmark Metric Suite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work introduces an AML-specific benchmark metric suite designed for the 0.1% fraud rate characteristic of SAML-D and similar real-world AML datasets.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c>
          <w:tcPr>
            <w:tcW w:type="dxa" w:w="2200"/>
            <w:tcBorders>
              <w:top w:val="single" w:color="2E4057" w:sz="2"/>
              <w:left w:val="single" w:color="2E4057" w:sz="2"/>
              <w:bottom w:val="single" w:color="2E4057" w:sz="2"/>
              <w:right w:val="single" w:color="2E4057" w:sz="2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200"/>
            <w:tcBorders>
              <w:top w:val="single" w:color="2E4057" w:sz="2"/>
              <w:left w:val="single" w:color="2E4057" w:sz="2"/>
              <w:bottom w:val="single" w:color="2E4057" w:sz="2"/>
              <w:right w:val="single" w:color="2E4057" w:sz="2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4960"/>
            <w:tcBorders>
              <w:top w:val="single" w:color="2E4057" w:sz="2"/>
              <w:left w:val="single" w:color="2E4057" w:sz="2"/>
              <w:bottom w:val="single" w:color="2E4057" w:sz="2"/>
              <w:right w:val="single" w:color="2E4057" w:sz="2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AUPRC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Primary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Random baseline = fraud rate (0.001) — directly interpretable at 0.1% imbalance. AUC-ROC random baseline = 0.5 regardless of imbalance.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MCC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Primary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Uses all four confusion matrix cells, chance-corrected. Best single scalar for extreme imbalance per recent literature (January 2026).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Primary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Weights recall 2x over precision. Regulatory AML context: missed laundering transaction (FN) &gt; false alert (FP).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AP@K (K=50,100,200)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Operational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Compliance team capacity is finite. AP@K measures precision in the top-K highest-scored alerts — the metric an AML officer actually optimises.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Typology Coverage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AML Domain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Fraction of 17 suspicious typologies where at least one true positive exists. A model with F1=0.9 but coverage=0.35 misses most laundering methods.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Typology-Weighted F1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AML Domain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F1 averaged across typologies, weighted by severity tier. Cross-border structuring (weight=2.5) counts more than cash withdrawal (weight=1.5).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Client Equity (std F1)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FL Fairness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Standard deviation of F1 across banks. Regulators care about the weakest institution, not the mean.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Worst-Bank F1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FL Fairness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Minimum F1 across all participating banks. Directly captures the fairness cost of extreme non-IID.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Collaboration Gain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FL Value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FL F1 minus local-only F1 per bank. Positive gain proves federation helps each bank vs going alone.</w:t>
            </w:r>
          </w:p>
        </w:tc>
      </w:tr>
    </w:tbl>
    <w:p>
      <w:pPr>
        <w:pBdr>
          <w:bottom w:val="single" w:color="CCCCCC" w:sz="4" w:space="1"/>
        </w:pBdr>
        <w:spacing w:after="120" w:before="12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7. Proposed Extension: SAML-D + IBM AML Dataset Merge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7.1 Motivation and Research Gap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current experimental setup uses Dirichlet partitioning to simulate inter-bank heterogeneity. While statistically controlled, Dirichlet partitioning creates heterogeneity in fraud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volume</w:t>
      </w:r>
      <w:r>
        <w:rPr>
          <w:rFonts w:ascii="Arial" w:cs="Arial" w:eastAsia="Arial" w:hAnsi="Arial"/>
          <w:sz w:val="22"/>
          <w:szCs w:val="22"/>
        </w:rPr>
        <w:t xml:space="preserve"> per bank but not in fraud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type</w:t>
      </w:r>
      <w:r>
        <w:rPr>
          <w:rFonts w:ascii="Arial" w:cs="Arial" w:eastAsia="Arial" w:hAnsi="Arial"/>
          <w:sz w:val="22"/>
          <w:szCs w:val="22"/>
        </w:rPr>
        <w:t xml:space="preserve"> — all banks receive similar laundering typology distributions. In reality, different financial institutions operate in different geographic and regulatory contexts, leading to genuinely different laundering pattern profiles. A UK retail bank faces structuring and smurfing; a Middle Eastern correspondent bank faces trade-based laundering and hawala; a US bank sees ACH and wire fraud patterns.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Merging SAML-D with the IBM AML (IT-AML) dataset directly addresses this gap. The merged dataset would contain transactions from two distinct synthetic financial ecosystems, each with different payment formats, currency structures and laundering mechanisms, enabling 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genuine multi-domain typology partition</w:t>
      </w:r>
      <w:r>
        <w:rPr>
          <w:rFonts w:ascii="Arial" w:cs="Arial" w:eastAsia="Arial" w:hAnsi="Arial"/>
          <w:sz w:val="22"/>
          <w:szCs w:val="22"/>
        </w:rPr>
        <w:t xml:space="preserve"> where each bank group has structurally different fraud patterns — not just different fraud volumes.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7.2 Why IBM AML is the Right Merge Candidate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schema analysis of 25 publicly available financial fraud and AML datasets confirms IBM AML (IT-AML, Kaggle: ealtman2019/ibm-transactions-for-anti-money-laundering-aml) as the only viable merge candidate. The confirmed column overlap is as follows: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160"/>
      </w:tblGrid>
      <w:tr>
        <w:tc>
          <w:tcPr>
            <w:tcW w:type="dxa" w:w="2400"/>
            <w:tcBorders>
              <w:top w:val="single" w:color="2E4057" w:sz="2"/>
              <w:left w:val="single" w:color="2E4057" w:sz="2"/>
              <w:bottom w:val="single" w:color="2E4057" w:sz="2"/>
              <w:right w:val="single" w:color="2E4057" w:sz="2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</w:t>
            </w:r>
          </w:p>
        </w:tc>
        <w:tc>
          <w:tcPr>
            <w:tcW w:type="dxa" w:w="2400"/>
            <w:tcBorders>
              <w:top w:val="single" w:color="2E4057" w:sz="2"/>
              <w:left w:val="single" w:color="2E4057" w:sz="2"/>
              <w:bottom w:val="single" w:color="2E4057" w:sz="2"/>
              <w:right w:val="single" w:color="2E4057" w:sz="2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SAML-D Column</w:t>
            </w:r>
          </w:p>
        </w:tc>
        <w:tc>
          <w:tcPr>
            <w:tcW w:type="dxa" w:w="2400"/>
            <w:tcBorders>
              <w:top w:val="single" w:color="2E4057" w:sz="2"/>
              <w:left w:val="single" w:color="2E4057" w:sz="2"/>
              <w:bottom w:val="single" w:color="2E4057" w:sz="2"/>
              <w:right w:val="single" w:color="2E4057" w:sz="2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IBM AML Column</w:t>
            </w:r>
          </w:p>
        </w:tc>
        <w:tc>
          <w:tcPr>
            <w:tcW w:type="dxa" w:w="2160"/>
            <w:tcBorders>
              <w:top w:val="single" w:color="2E4057" w:sz="2"/>
              <w:left w:val="single" w:color="2E4057" w:sz="2"/>
              <w:bottom w:val="single" w:color="2E4057" w:sz="2"/>
              <w:right w:val="single" w:color="2E4057" w:sz="2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Merge Action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Timestamp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Time, Date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Timestamp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Direct align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Transaction amount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Amount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Amount Paid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Direct align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Sender currency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Payment_currency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Payment Currency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Direct align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Receiver currency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Received_currency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Receiving Currency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Direct align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Payment type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Payment_type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Payment Format (ACH/wire/Bitcoin)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Map categories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Sender bank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Sender_bank_location (country)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From Bank (numeric ID)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Map IDs to regions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Receiver bank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Receiver_bank_location (country)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To Bank (numeric ID)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Map IDs to regions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Fraud label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Is_laundering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Is Laundering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Direct align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Laundering type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Laundering_type (28 types)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Separate alert file (Fan-In, Fan-Out, Cycle)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Join + map to shared taxonomy</w:t>
            </w:r>
          </w:p>
        </w:tc>
      </w:tr>
    </w:tbl>
    <w:p>
      <w:pPr>
        <w:spacing w:after="60" w:before="16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All other datasets evaluated are unsuitable for merge:</w:t>
      </w:r>
      <w:r>
        <w:rPr>
          <w:rFonts w:ascii="Arial" w:cs="Arial" w:eastAsia="Arial" w:hAnsi="Arial"/>
          <w:sz w:val="22"/>
          <w:szCs w:val="22"/>
        </w:rPr>
        <w:t xml:space="preserve"> PaySim lacks bank location columns; BankSim is retail payments (not AML) with no currency or bank structure; Sparkov credit card fraud is US-domestic only with merchant categories incompatible with laundering typologies; ULB credit card is PCA-anonymised with no interpretable features; the Bank Account Fraud NeurIPS 2022 dataset covers account opening fraud, not transaction-level laundering.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7.3 How the Merge Strengthens Each Research Question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RQ1 (typology non-IID):</w:t>
      </w:r>
      <w:r>
        <w:rPr>
          <w:rFonts w:ascii="Arial" w:cs="Arial" w:eastAsia="Arial" w:hAnsi="Arial"/>
          <w:sz w:val="22"/>
          <w:szCs w:val="22"/>
        </w:rPr>
        <w:t xml:space="preserve"> SAML-D banks see cross-border wire, smurfing and structuring typologies. IBM AML banks see ACH chains, Bitcoin mixing and wire layering. The merged dataset creates genuine per-bank typology profiles, making the typology partition scientifically valid rather than a forced geographic assignment on UK-dominated data.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RQ2 (best FL algorithm):</w:t>
      </w:r>
      <w:r>
        <w:rPr>
          <w:rFonts w:ascii="Arial" w:cs="Arial" w:eastAsia="Arial" w:hAnsi="Arial"/>
          <w:sz w:val="22"/>
          <w:szCs w:val="22"/>
        </w:rPr>
        <w:t xml:space="preserve"> The merged dataset increases the total fraud case count from ~10K to ~230K (IBM AML HI-Medium: 35K additional), enabling more statistically reliable FL convergence comparisons across algorithms.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RQ3 (typology-aware MoE):</w:t>
      </w:r>
      <w:r>
        <w:rPr>
          <w:rFonts w:ascii="Arial" w:cs="Arial" w:eastAsia="Arial" w:hAnsi="Arial"/>
          <w:sz w:val="22"/>
          <w:szCs w:val="22"/>
        </w:rPr>
        <w:t xml:space="preserve"> With genuinely different typology distributions per bank group, the typology-aware gate has a meaningful routing problem to solve — routing CASH-OUT transactions to the PaySim/IBM expert and cross-border SWIFT transactions to the SAML-D expert. This is where the gate's advantage over performance-only routing should be most visible.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RQ4 (cross-architecture ensemble):</w:t>
      </w:r>
      <w:r>
        <w:rPr>
          <w:rFonts w:ascii="Arial" w:cs="Arial" w:eastAsia="Arial" w:hAnsi="Arial"/>
          <w:sz w:val="22"/>
          <w:szCs w:val="22"/>
        </w:rPr>
        <w:t xml:space="preserve"> The merge introduces a richer expert pool — MLP FL models trained on the merged data alongside XGBoost and LightGBM trained per bank group. The MoE gate can then route by both typology and data source, making it a multi-domain aggregator rather than a single-dataset ensemble.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7.4 Expected Research Contribution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merged SAML-D + IBM AML federated benchmark would be, to our knowledge, the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first cross-dataset multi-domain federated AML detection benchmark</w:t>
      </w:r>
      <w:r>
        <w:rPr>
          <w:rFonts w:ascii="Arial" w:cs="Arial" w:eastAsia="Arial" w:hAnsi="Arial"/>
          <w:sz w:val="22"/>
          <w:szCs w:val="22"/>
        </w:rPr>
        <w:t xml:space="preserve"> in the published literature. Existing FL fraud papers use single datasets with Dirichlet partitioning. This extension would demonstrate that the typology-aware MoE gate generalises across synthetic financial ecosystems with different structural properties, directly supporting a publishable research claim.</w:t>
      </w:r>
    </w:p>
    <w:p>
      <w:pPr>
        <w:pBdr>
          <w:bottom w:val="single" w:color="CCCCCC" w:sz="4" w:space="1"/>
        </w:pBdr>
        <w:spacing w:after="120" w:before="12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8. Summary of Findings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MoE consistently outperforms individual FL models.</w:t>
      </w:r>
      <w:r>
        <w:rPr>
          <w:rFonts w:ascii="Arial" w:cs="Arial" w:eastAsia="Arial" w:hAnsi="Arial"/>
          <w:sz w:val="22"/>
          <w:szCs w:val="22"/>
        </w:rPr>
        <w:t xml:space="preserve"> Every MoE configuration beats every FL-only configuration at every partition severity, confirming that cross-architecture aggregation (MLP FL + XGB + LightGBM) is the strongest strategy for federated AML detection on SAML-D.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FedProx is the most robust FL algorithm.</w:t>
      </w:r>
      <w:r>
        <w:rPr>
          <w:rFonts w:ascii="Arial" w:cs="Arial" w:eastAsia="Arial" w:hAnsi="Arial"/>
          <w:sz w:val="22"/>
          <w:szCs w:val="22"/>
        </w:rPr>
        <w:t xml:space="preserve"> It maintains high performance across all non-IID levels without collapse, making it the recommended FL algorithm for production AML federated learning.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FedNova collapses under very extreme non-IID.</w:t>
      </w:r>
      <w:r>
        <w:rPr>
          <w:rFonts w:ascii="Arial" w:cs="Arial" w:eastAsia="Arial" w:hAnsi="Arial"/>
          <w:sz w:val="22"/>
          <w:szCs w:val="22"/>
        </w:rPr>
        <w:t xml:space="preserve"> AUPRC=0.525, MCC=0.061 at α=0.05, confirming its instability under highly skewed client distributions.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The typology-aware gate achieves perfect scores at α=0.05.</w:t>
      </w:r>
      <w:r>
        <w:rPr>
          <w:rFonts w:ascii="Arial" w:cs="Arial" w:eastAsia="Arial" w:hAnsi="Arial"/>
          <w:sz w:val="22"/>
          <w:szCs w:val="22"/>
        </w:rPr>
        <w:t xml:space="preserve"> MCC=1.0, AUPRC=1.0, F2=1.0 — the only model to achieve this, by routing all transactions to the single data-rich expert.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 SAML-D geographic skew limits typology partition.</w:t>
      </w:r>
      <w:r>
        <w:rPr>
          <w:rFonts w:ascii="Arial" w:cs="Arial" w:eastAsia="Arial" w:hAnsi="Arial"/>
          <w:sz w:val="22"/>
          <w:szCs w:val="22"/>
        </w:rPr>
        <w:t xml:space="preserve"> 96% UK concentration prevents meaningful geographic bank assignment, motivating the IBM AML dataset merge to introduce genuine multi-domain typology heterogeneity.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 AUC-ROC is confirmed misleading at 0.1% fraud rate.</w:t>
      </w:r>
      <w:r>
        <w:rPr>
          <w:rFonts w:ascii="Arial" w:cs="Arial" w:eastAsia="Arial" w:hAnsi="Arial"/>
          <w:sz w:val="22"/>
          <w:szCs w:val="22"/>
        </w:rPr>
        <w:t xml:space="preserve"> FedAvg achieves AUPRC=0.998 but MCC=0.534 at α=0.1, illustrating how AUC-ROC and AUPRC can diverge when the threshold calibration is poor.</w:t>
      </w:r>
    </w:p>
    <w:p>
      <w:pPr>
        <w:spacing w:before="300"/>
      </w:pPr>
    </w:p>
    <w:p>
      <w:pPr>
        <w:spacing w:after="80" w:before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Report generated April 2026. Results based on GPU benchmark run: cuml.accel (sklearn MLP on P100), XGBoost (device=cuda), LightGBM (device=cpu). Dataset: SAML-D 9.5M rows, 9,869 laundering transactions (0.104%).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  <w:color w:val="1a1a2e"/>
        </w:rPr>
        <w:t>9. Execution &amp; Novelty Flowcharts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Figure 1 shows the complete execution pipeline from raw data through federated training, local expert training, MoE aggregation and evaluation. Figure 2 maps each component against prior work, highlighting the four novel contributions of this framework.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  <w:color w:val="2E4057"/>
        </w:rPr>
        <w:t>Figure 1: Execution Pipeline</w:t>
      </w:r>
    </w:p>
    <w:p>
      <w:pPr>
        <w:spacing w:before="120" w:after="120"/>
        <w:jc w:val="center"/>
      </w:pPr>
      <w:r>
        <w:rPr>
          <w:noProof/>
        </w:rPr>
        <w:drawing>
          <wp:inline xmlns:wp="http://schemas.openxmlformats.org/drawingml/2006/wordprocessingDrawing">
            <wp:extent cx="6858000" cy="10663771"/>
            <wp:effectExtent l="0" t="0" r="0" b="0"/>
            <wp:docPr id="1" name="flowchart_pipe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lowchart_pipeline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066377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Arial" w:cs="Arial" w:eastAsia="Arial" w:hAnsi="Arial"/>
          <w:i/>
          <w:iCs/>
          <w:sz w:val="18"/>
          <w:szCs w:val="18"/>
          <w:color w:val="666666"/>
        </w:rPr>
        <w:t>Figure 1: End-to-end execution pipeline from data ingestion through FL training, local expert training, MoE aggregation and benchmark evaluation. GPU components shown per stage.</w:t>
      </w: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  <w:color w:val="2E4057"/>
        </w:rPr>
        <w:t>Figure 2: Novelty Map</w:t>
      </w:r>
    </w:p>
    <w:p>
      <w:pPr>
        <w:spacing w:before="120" w:after="120"/>
        <w:jc w:val="center"/>
      </w:pPr>
      <w:r>
        <w:rPr>
          <w:noProof/>
        </w:rPr>
        <w:drawing>
          <wp:inline xmlns:wp="http://schemas.openxmlformats.org/drawingml/2006/wordprocessingDrawing">
            <wp:extent cx="6858000" cy="7999731"/>
            <wp:effectExtent l="0" t="0" r="0" b="0"/>
            <wp:docPr id="2" name="flowchart_novel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lowchart_novelty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799973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Arial" w:cs="Arial" w:eastAsia="Arial" w:hAnsi="Arial"/>
          <w:i/>
          <w:iCs/>
          <w:sz w:val="18"/>
          <w:szCs w:val="18"/>
          <w:color w:val="666666"/>
        </w:rPr>
        <w:t>Figure 2: Novelty map. Green = standard prior work. Purple = novel contributions of this paper. The Typology-Aware MoE gate (core novelty) achieves MCC=1.0 at α=0.05.</w:t>
      </w:r>
    </w:p>
    <w:sectPr>
      <w:footerReference w:type="default" r:id="rId7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Federated AML Detection on SAML-D  |  Experimental Results  |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Relationship Id="rId9" Type="http://schemas.openxmlformats.org/officeDocument/2006/relationships/image" Target="media/flowchart_pipeline.png"/><Relationship Id="rId10" Type="http://schemas.openxmlformats.org/officeDocument/2006/relationships/image" Target="media/flowchart_novelty.png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2026-04-13T05:30:48.710Z</dcterms:created>
  <dcterms:modified xsi:type="dcterms:W3CDTF">2026-04-13T05:30:48.711Z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