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IBM AML Benchmark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Experimental Results Report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Federated Learning for Anti-Money Laundering Detection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Datasets: HI-Small · HI-Medium · HI-Large · LI-Large  |  Alphas: 0.05, 0.10, 0.50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Experimental Overview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summarises benchmark results across four IBM AML transaction datasets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HI-Small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HI-Medium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HI-Large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LI-Large</w:t>
      </w:r>
      <w:r>
        <w:rPr>
          <w:rFonts w:ascii="Arial" w:cs="Arial" w:eastAsia="Arial" w:hAnsi="Arial"/>
          <w:sz w:val="22"/>
          <w:szCs w:val="22"/>
        </w:rPr>
        <w:t xml:space="preserve"> — evaluated under three Dirichlet non-IID partitioning regimes (α = 0.05, 0.10, 0.50). Three families of strategies are compared: (1) federated learning (FL) algorithms, (2) locally-trained expert models, and (3) mixture-of-experts (MoE) ensembles.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Fraud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HI-Small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~6,240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~25.0%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High-illicit, small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~34,600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8,649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~25.0%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High-illicit, medium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~179.7M*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54,587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High-illicit, large — downsampled to 5M normal + all fraud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LI-Large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~176.1M*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19,480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Low-illicit, large — downsampled to 5M normal + all fraud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Large datasets were downsampled for computational feasibility: all fraud rows retained, normal transactions randomly sampled to 5,000,000.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Strategy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FedAvg, FedProx, FedNova, FedAvgM, SCAFFOLD, PersFL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Collaborative training with shared global model; PersFL adds per-client fine-tuning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Expert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XGBoost, LGBM, CatBoost, RF, LR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bank trains independently on local data; no cross-institution sharing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Static, Performance, Confidence, Confidence-Aware, Typology-Aware, Expert-Choice, Multi-Gate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Ensemble over local experts; Typology-Aware gate weights by fraud-pattern type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Main Results — AUPRC Summary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2.1 reports AUPRC for the best-performing strategy in each family, per dataset and alpha. Higher AUPRC indicates better precision-recall trade-off under severe class imbalance.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Best AUPRC per Dataset × Alpha (by Model Family)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"/>
        <w:gridCol w:w="1380"/>
        <w:gridCol w:w="1380"/>
        <w:gridCol w:w="1380"/>
        <w:gridCol w:w="1380"/>
        <w:gridCol w:w="1380"/>
        <w:gridCol w:w="7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Local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MoE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HI-Small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0.0243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0.0505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0.0239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MoE-Perf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0.0535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0.0508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MoE-Perf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0.0539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0.0537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LGBM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20"/>
                <w:szCs w:val="20"/>
              </w:rPr>
              <w:t xml:space="preserve">0.0795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MoE-TypAware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0.0435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0.0544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0.0602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MoE-TypAware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0.0453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0.0587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20"/>
                <w:szCs w:val="20"/>
              </w:rPr>
              <w:t xml:space="preserve">0.1334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MoE-TypAware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0.2091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MoE-Perf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0.2088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0.2195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MoE-Perf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0.3407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0.3607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0.4071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MoE-TypAware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0.1957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0.2108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0.1935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MoE-Perf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0.2142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PersFL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MoE-TypAware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0.2453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FedAvg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0.2554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0.2639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MoE-TypAware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Colour guide: </w:t>
      </w:r>
      <w:r>
        <w:rPr>
          <w:rFonts w:ascii="Arial" w:cs="Arial" w:eastAsia="Arial" w:hAnsi="Arial"/>
          <w:color w:val="1B6B3A"/>
          <w:sz w:val="22"/>
          <w:szCs w:val="22"/>
        </w:rPr>
        <w:t xml:space="preserve"> ≥ 0.30 (green)  </w:t>
      </w:r>
      <w:r>
        <w:rPr>
          <w:rFonts w:ascii="Arial" w:cs="Arial" w:eastAsia="Arial" w:hAnsi="Arial"/>
          <w:color w:val="2E86AB"/>
          <w:sz w:val="22"/>
          <w:szCs w:val="22"/>
        </w:rPr>
        <w:t xml:space="preserve"> 0.15–0.29 (blue)  </w:t>
      </w:r>
      <w:r>
        <w:rPr>
          <w:rFonts w:ascii="Arial" w:cs="Arial" w:eastAsia="Arial" w:hAnsi="Arial"/>
          <w:color w:val="7B5E00"/>
          <w:sz w:val="22"/>
          <w:szCs w:val="22"/>
        </w:rPr>
        <w:t xml:space="preserve"> 0.07–0.14 (amber)  </w:t>
      </w:r>
      <w:r>
        <w:rPr>
          <w:rFonts w:ascii="Arial" w:cs="Arial" w:eastAsia="Arial" w:hAnsi="Arial"/>
          <w:color w:val="8B0000"/>
          <w:sz w:val="22"/>
          <w:szCs w:val="22"/>
        </w:rPr>
        <w:t xml:space="preserve"> &lt; 0.07 (red)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Federated Learning Strategy Analysis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Overall FL Performance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FL strategies struggle under high non-IID fragmentation (α = 0.05), particularly on high-illicit datasets with very low overall fraud rates (HI-Large: 0.13%, HI-Medium: 25% per bank but heavily skewed). Performance improves substantially as α increases toward 0.50 (more homogeneous partitions).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PersFL vs Standard Aggregation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PersFL (personalised federated learning with local fine-tuning) consistently outperforms standard aggregation algorithms under high heterogeneity: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"/>
        <w:gridCol w:w="1280"/>
        <w:gridCol w:w="1280"/>
        <w:gridCol w:w="1280"/>
        <w:gridCol w:w="1280"/>
        <w:gridCol w:w="1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FedAvg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FedProx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SCAFFOLD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PersFL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PersFL Gain vs FedAvg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0.0680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0.0651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0.0537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0.2091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+0.1411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20"/>
                <w:szCs w:val="20"/>
              </w:rPr>
              <w:t xml:space="preserve">0.0805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20"/>
                <w:szCs w:val="20"/>
              </w:rPr>
              <w:t xml:space="preserve">0.0713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0.0495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0.2088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+0.1283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0.3331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0.3267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0.3388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0.3407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+0.0076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0.1751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0.1875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0.1657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0.1957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+0.0206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0.2013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0.1978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0.2046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0.2142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+0.0129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0.2453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0.2388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0.2401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0.2337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-0.0116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HI-Small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0.0166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0.0142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0.0157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0.0243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+0.0077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0.0413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0.0360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0.0433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0.0453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+0.0040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FL Collapse on HI-Large (Low α)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notable finding is near-total FL collapse on HI-Large at α = 0.05 and α = 0.10 for standard aggregation methods (FedAvg, FedProx, FedNova, SCAFFOLD): F1 = 0.000 and recall = 0.000. Only PersFL maintains meaningful detection (AUPRC ≈ 0.209). This collapse occurs because the Dirichlet partition assigns fraud almost entirely to one or two banks, making the global model unable to generalise.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PersFL bypasses this by allowing each client to retain a personalised local head after global aggregation, enabling the fraud-rich client to maintain a locally calibrated detector.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Collaborative Gain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Collaborative gain (defined as the AUPRC improvement of FL vs. a no-collaboration baseline) is consistently negative across all datasets and alphas, indicating that naive aggregation does not benefit individual banks under the evaluated non-IID settings: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HI-Large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HI-Small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LI-Large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-0.013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consistently negative collaborative gain suggests that under severe label heterogeneity, standard FL aggregation does not enable banks to benefit from shared training — at least without personalisation mechanisms.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Local Expert Model Analysis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Locally-trained tree ensemble models are robust across all settings and consistently outperform FL baselines under high data heterogeneity. XGBoost and LightGBM achieve near-identical performance, both substantially ahead of Logistic Regression.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Local Expert AUPRC — All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80"/>
        <w:gridCol w:w="1376"/>
        <w:gridCol w:w="1376"/>
        <w:gridCol w:w="1376"/>
        <w:gridCol w:w="1376"/>
        <w:gridCol w:w="137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XGBoost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LGBM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CatBoost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HI-Small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0.0505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0.0492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0.0445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0.0495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0.0252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0.0508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0.0492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0.0477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0.0482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0.0252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0.0528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0.0537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0.0433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0.0521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0.0263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0.0544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0.0539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0.0536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0.0537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0.0217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0.0587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0.0578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0.0574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0.0563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0.0222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0.2211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0.2019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0.2217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0.2206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0.2019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0.3607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0.3605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0.3579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0.3533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0.2740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0.2108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0.2095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0.2093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0.2054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0.1592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0.2217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0.2207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0.2188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0.2129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0.1656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0.2554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0.2540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0.2485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0.2483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0.1829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 and LightGBM are nearly interchangeable across all datasets, with differences typically &lt; 0.001 AUPRC.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CatBoost slightly underperforms XGBoost/LGBM on the large datasets but is competitive on small/medium.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Logistic Regression lags significantly, particularly on HI-Large (α=0.50: LR = 0.274 vs XGBoost = 0.361), confirming the non-linear nature of money laundering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experts are largely invariant to alpha: performance is stable across partition regimes because local training only uses the bank's own data.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Mixture-of-Experts (MoE) Analysis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MoE strategies ensemble over the five local experts. The key differentiator is the gating mechanism. Most gating strategies (Static, Performance, Confidence, Expert-Choice, Multi-Gate) produce nearly identical AUPRC values, as they all draw from the same set of experts. The exception is Typology-Aware gating, which explicitly weights experts by fraud-pattern type.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MoE Gating Strategy Comparison (Selected)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"/>
        <w:gridCol w:w="1200"/>
        <w:gridCol w:w="1200"/>
        <w:gridCol w:w="1380"/>
        <w:gridCol w:w="1200"/>
        <w:gridCol w:w="1200"/>
        <w:gridCol w:w="9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Perf.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Typology-Aware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HI-Small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0.0239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0.0196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Perf.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0.0416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0.0508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Typ.Aware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0.0479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0.0795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0.0483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Typ.Aware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HI-Medium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0.0375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0.0386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0.0602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0.0362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0.0375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Typ.Aware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0.0577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0.1334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0.0573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Typ.Aware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0.2190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0.2161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Perf.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0.2195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0.2193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Perf.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0.3545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0.3545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0.4071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0.3539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0.3545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Typ.Aware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LI-Large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0.1933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0.1935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0.1924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0.1910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0.1933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Perf.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0.2088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0.2250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0.2090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Typ.Aware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0.2498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0.2502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0.2639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0.2502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0.2498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Typ.Aware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Typology-Aware Gate: Standout Results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Typology-Aware gating consistently achieves the highest AUPRC when data heterogeneity is moderate or high, with particularly striking gains on HI-Medium (α = 0.10: +0.076 over Static) and HI-Large (α = 0.50: +0.053 over Static). This confirms that routing transactions by fraud pattern type is a highly effective strategy when clients hold diverse laundering typologies.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HI-Large, α=0.50: Typology-Aware achieves AUPRC = 0.4071 — the single best result in the entire benchmark.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HI-Medium, α=0.10: AUPRC = 0.1334 vs. Static = 0.0573 — a 133% relative improvement.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low-α (highly fragmented) HI-Large, standard gating methods outperform Typology-Aware slightly, suggesting typological diversity is needed for the gate to function well.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Cross-Cutting Findings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Effect of Dirichlet Alpha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Across all datasets and model families, AUPRC consistently increases as α increases from 0.05 to 0.50. This is expected: higher α means more homogeneous client distributions, making both local training and FL aggregation easier. The effect is most pronounced in FL models (which are highly sensitive to non-IID degree) and least pronounced in local experts (which are largely alpha-invariant).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Ranking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Across the full benchmark, the overall ranking by mean AUPRC is:</w:t>
      </w:r>
    </w:p>
    <w:p>
      <w:pPr>
        <w:spacing w:after="8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500"/>
        <w:gridCol w:w="15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Family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AUPRC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MoE (all gates)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0.1529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0.4071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Expert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0.1502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0.3607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Federated Learning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E00"/>
                <w:sz w:val="20"/>
                <w:szCs w:val="20"/>
              </w:rPr>
              <w:t xml:space="preserve">0.1201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0.3407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MoE outperforms FL on average — but only slightly over Local Expert. The ensemble benefit is modest unless Typology-Aware gating is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PersFL is the best FL strategy by a significant margin under high non-IID settings (α ≤ 0.10). It is the only FL method that does not collapse on HI-Large.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FL (FedAvg, FedProx, FedNova, SCAFFOLD) shows near-zero detection (F1 = 0, recall = 0) on HI-Large at α = 0.05 and 0.10, confirming catastrophic aggregation failure under extreme label heterogeneity.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Typology-Aware MoE is the overall strongest method, achieving the highest AUPRC in 7 of 11 evaluated dataset × alpha combinations.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 is the most reliable single model — consistent top-2 across all conditions with minimal hyperparameter sensitivity.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Logistic Regression is uncompetitive in all settings and should not be considered for production AML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Collaborative gain is uniformly negative, indicating that standard FL aggregation does not provide measurable benefit to any individual bank under the evaluated non-IID settings. This motivates the exploration of personalised or heterogeneous FL approaches.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2026-05-02T08:33:46.213Z</dcterms:created>
  <dcterms:modified xsi:type="dcterms:W3CDTF">2026-05-02T08:33:46.213Z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