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User:</w:t>
      </w:r>
      <w:r>
        <w:t xml:space="preserve"> the engineer who owns a support bot’s prompt and signs off every change to it. They know prompting, not red-teaming, and cannot read 60 attack transcripts per release: at two minutes each, that is two engineer-hours (about $170) per prompt change.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Three agent failure modes were observed and fixed: the attacker wrapped JSON in a markdown fence the parser rejected; a reasoning model spent its whole token budget thinking and returned nothing; and the judge’s free text mis-attributed root causes. If the attacker refuses, PromptRed replays real human attacks from Lakera’s MIT-licensed Gandalf dataset.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hand-labelled all 129 resulting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0.82 (precision 0.73, recall 0.94),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12.7% error.</w:t>
            </w:r>
            <w:r>
              <w:rPr>
                <w:sz w:val="18"/>
                <w:szCs w:val="18"/>
              </w:rPr>
              <w:t xml:space="preserve"> 11 of 13 errors sat between 0.82 and 0.90; above 0.90, 2 of 77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36% (taxonomy 48%, Gandalf 10%)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So the judge’s accuracy and confidence ranking transferred, but the threshold did not: calibration assumes new cases look like old ones. Automation survives if each new domain gets a small labelled audit sample to reset the threshold. The false alarms share one cause: the fix that counts attempted actions also catches refusals describing verification steps.</w:t>
      </w:r>
    </w:p>
    <w:p>
      <w:pPr>
        <w:pStyle w:val="Heading1"/>
        <w:spacing w:after="80" w:before="200"/>
      </w:pPr>
      <w:r>
        <w:t xml:space="preserve">7. Risks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Small samples: 17 positives in the original set; system-prompt extraction has only three.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Confidence is self-reported, and the same input can get different verdicts: one model-identity leak was judged vulnerable once and held six times.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Single-turn scans miss weaknesses that need a follow-up turn.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 attacker knows the judge: untrusted text is fenced out of the judge’s instructions and the panel must be fooled twice, yet judge-directed injection stayed weakest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2026-09-28T01:51:56.636Z</dcterms:created>
  <dcterms:modified xsi:type="dcterms:W3CDTF">2026-09-28T01:51:56.643Z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