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hand-labelled all 129 resulting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0.82 (precision 0.73, recall 0.94),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12.7% error.</w:t>
            </w:r>
            <w:r>
              <w:rPr>
                <w:sz w:val="18"/>
                <w:szCs w:val="18"/>
              </w:rPr>
              <w:t xml:space="preserve"> 11 of 13 errors sat between 0.82 and 0.90; above 0.90, 2 of 77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36% (taxonomy 48%, Gandalf 10%)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and confidence ranking transferred; the threshold did not, because calibration assumes new cases resemble old ones. The false alarms share one cause: the fix that counts attempted actions also catches refusals that describe verification steps.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labeller, small samples:</w:t>
      </w:r>
      <w:r>
        <w:t xml:space="preserve"> 17 positives, three for system-prompt extraction, and no second rater, so no per-category claims and no agreement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 on the same kind of case: eight bots disclosed their model’s name,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by a wide margin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Three eval suites</w:t>
      </w:r>
      <w:r>
        <w:t xml:space="preserve"> (attack quality, robustness to rephrasing, end-to-end benchmark) are built and unit-tested but were never run live.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2026-10-02T06:35:13.853Z</dcterms:created>
  <dcterms:modified xsi:type="dcterms:W3CDTF">2026-10-02T06:35:13.854Z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