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SHREEJIT MAGADUM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+91 86187 29579  |  shreejitmagadum2003@gmail.com  |  linkedin.com/in/shreejitm  |  github.com/Shreejit123-M</w:t>
      </w:r>
    </w:p>
    <w:p>
      <w:pPr>
        <w:pBdr>
          <w:bottom w:val="single" w:color="1B4F72" w:sz="6" w:space="1"/>
        </w:pBdr>
        <w:spacing w:after="50" w:before="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PROFESSIONAL SUMMARY</w:t>
      </w:r>
    </w:p>
    <w:p>
      <w:pPr>
        <w:pBdr>
          <w:bottom w:val="single" w:color="1B4F72" w:sz="6" w:space="1"/>
        </w:pBdr>
        <w:spacing w:after="50" w:before="0"/>
      </w:pPr>
    </w:p>
    <w:p>
      <w:pPr>
        <w:spacing w:after="40" w:before="4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Detail-oriented ECE graduate with 11 months of administrative support experience and strong expertise in documentation, stakeholder coordination, and process compliance. Skilled in data flow analysis, risk assessment reporting, and privacy-aligned system design — directly transferable to Data Privacy and Data Governance frameworks. Combines a consulting mindset with technical depth to deliver structured, audit-ready outputs aligned with GDPR principles and Deloitte's privacy practice.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CORE SKILLS</w:t>
      </w:r>
    </w:p>
    <w:p>
      <w:pPr>
        <w:pBdr>
          <w:bottom w:val="single" w:color="1B4F72" w:sz="6" w:space="1"/>
        </w:pBdr>
        <w:spacing w:after="50" w:before="0"/>
      </w:pP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Privacy &amp; Compliance: </w:t>
      </w:r>
      <w:r>
        <w:rPr>
          <w:rFonts w:ascii="Arial" w:cs="Arial" w:eastAsia="Arial" w:hAnsi="Arial"/>
          <w:color w:val="2C3E50"/>
          <w:sz w:val="17"/>
          <w:szCs w:val="17"/>
        </w:rPr>
        <w:t xml:space="preserve">Data Privacy, GDPR Concepts, PIA, Data Flow Mapping, ROPA, Gap Assessment, Data Governance, Data Inventory, Policy Drafting, Privacy Frameworks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Analytical &amp; Risk: </w:t>
      </w:r>
      <w:r>
        <w:rPr>
          <w:rFonts w:ascii="Arial" w:cs="Arial" w:eastAsia="Arial" w:hAnsi="Arial"/>
          <w:color w:val="2C3E50"/>
          <w:sz w:val="17"/>
          <w:szCs w:val="17"/>
        </w:rPr>
        <w:t xml:space="preserve">Risk Assessment, Compliance Reporting, Data Classification, Cybersecurity Fundamentals, Threat Analysis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Technical Tools: </w:t>
      </w:r>
      <w:r>
        <w:rPr>
          <w:rFonts w:ascii="Arial" w:cs="Arial" w:eastAsia="Arial" w:hAnsi="Arial"/>
          <w:color w:val="2C3E50"/>
          <w:sz w:val="17"/>
          <w:szCs w:val="17"/>
        </w:rPr>
        <w:t xml:space="preserve">Python, SQL, Flask, FastAPI, AWS (EC2, S3, Lambda), Docker, Linux, Git, MS Office (Word, Excel, PowerPoint, Outlook)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Consulting Skills: </w:t>
      </w:r>
      <w:r>
        <w:rPr>
          <w:rFonts w:ascii="Arial" w:cs="Arial" w:eastAsia="Arial" w:hAnsi="Arial"/>
          <w:color w:val="2C3E50"/>
          <w:sz w:val="17"/>
          <w:szCs w:val="17"/>
        </w:rPr>
        <w:t xml:space="preserve">Stakeholder Communication, SOP Documentation, Problem Solving, Attention to Detail, Client-Facing Presentation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EXPERIENCE</w:t>
      </w:r>
    </w:p>
    <w:p>
      <w:pPr>
        <w:pBdr>
          <w:bottom w:val="single" w:color="1B4F72" w:sz="6" w:space="1"/>
        </w:pBdr>
        <w:spacing w:after="50" w:before="0"/>
      </w:pPr>
    </w:p>
    <w:p>
      <w:pPr>
        <w:tabs>
          <w:tab w:val="right" w:pos="9360"/>
        </w:tabs>
        <w:spacing w:after="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Keyence Corporation</w:t>
      </w: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	Feb 2024 – Dec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Administrative Assistant  |  Bangalore, India  |  11 months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Managed end-to-end scheduling, meeting coordination, and travel itinerary planning for senior leads, maintaining zero scheduling conflicts across multiple concurrent projects.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Authored and maintained SOPs, process documentation, and project trackers in Word, Excel, and Outlook — ensuring version-controlled, audit-ready records compliant with internal quality standards.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Automated routine reporting workflows using Python scripts, reducing manual processing effort by 30% and improving weekly status report turnaround time significantly.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Served as primary stakeholder liaison — coordinated queries across engineering, procurement, and vendor teams; drafted correspondence and escalated issues proactively to senior directors.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Supported expense reconciliation, meeting minutes, and preparation of executive-ready PowerPoint presentations for senior director review and client-facing deliverables.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KEY PROJECTS</w:t>
      </w:r>
    </w:p>
    <w:p>
      <w:pPr>
        <w:pBdr>
          <w:bottom w:val="single" w:color="1B4F72" w:sz="6" w:space="1"/>
        </w:pBdr>
        <w:spacing w:after="50" w:before="0"/>
      </w:pPr>
    </w:p>
    <w:p>
      <w:pPr>
        <w:tabs>
          <w:tab w:val="right" w:pos="9360"/>
        </w:tabs>
        <w:spacing w:after="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Corn Leaf Disease Detection — IEEE Published Research</w:t>
      </w: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	May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TensorFlow, Keras, ResNet, Grad-CAM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Built AI model governance framework with full evaluation suite (precision, recall, F1, confusion matrix) — mirroring privacy risk assessment and compliance validation workflows before production deployment.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Applied Grad-CAM explainability to expose model decision logic, enabling transparent and auditable AI outputs aligned with Privacy by Design and data accountability principles.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Authored IEEE peer-review standard documentation — demonstrating rigorous technical writing skills directly applicable to ROPA, PIA, and data protection policy deliverables.</w:t>
      </w:r>
    </w:p>
    <w:p>
      <w:pPr>
        <w:tabs>
          <w:tab w:val="right" w:pos="9360"/>
        </w:tabs>
        <w:spacing w:after="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Custom Search Engine</w:t>
      </w: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	Jan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Python, Flask, SQLite, TF-IDF, REST API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Engineered a data indexing pipeline over 1,000+ documents with query caching — reflecting data inventory management, data classification, and privacy-aware system design practices.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Designed RESTful API with data minimization principles in schema design to limit unnecessary data exposure, consistent with GDPR requirements.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EDUCATION</w:t>
      </w:r>
    </w:p>
    <w:p>
      <w:pPr>
        <w:pBdr>
          <w:bottom w:val="single" w:color="1B4F72" w:sz="6" w:space="1"/>
        </w:pBdr>
        <w:spacing w:after="50" w:before="0"/>
      </w:pPr>
    </w:p>
    <w:p>
      <w:pPr>
        <w:tabs>
          <w:tab w:val="right" w:pos="9360"/>
        </w:tabs>
        <w:spacing w:after="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REVA University, Bangalore</w:t>
      </w: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	Dec 2021 – May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B.Tech – Electronics &amp; Communication Engineering  |  CGPA: 8.4/10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Coursework: </w:t>
      </w:r>
      <w:r>
        <w:rPr>
          <w:rFonts w:ascii="Arial" w:cs="Arial" w:eastAsia="Arial" w:hAnsi="Arial"/>
          <w:color w:val="2C3E50"/>
          <w:sz w:val="17"/>
          <w:szCs w:val="17"/>
        </w:rPr>
        <w:t xml:space="preserve">Data Structures &amp; Algorithms, AI, Database Management, System Design, Computer Architecture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CERTIFICATIONS &amp; ACHIEVEMENTS</w:t>
      </w:r>
    </w:p>
    <w:p>
      <w:pPr>
        <w:pBdr>
          <w:bottom w:val="single" w:color="1B4F72" w:sz="6" w:space="1"/>
        </w:pBdr>
        <w:spacing w:after="50" w:before="0"/>
      </w:pP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AWS Cloud Practitioner (2025) | APAC Solutions Architecture – Elastic Beanstalk, load balancing (Forage, Jan 2026) | JPMorgan Chase Software Engineering – event-driven workflows (Forage, Jan 2026)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Saviynt Identity Security for AI Age (2025) | Docker Essentials (2024) | Python for Data Science – IBM (2024) | IEEE Published Researcher – 90% accuracy DL model | LeetCode 300+ solved</w:t>
      </w:r>
    </w:p>
    <w:sectPr>
      <w:pgSz w:w="12240" w:h="15840" w:orient="portrait"/>
      <w:pgMar w:top="600" w:right="820" w:bottom="50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2026-04-07T09:32:43.293Z</dcterms:created>
  <dcterms:modified xsi:type="dcterms:W3CDTF">2026-04-07T09:32:43.294Z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