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D196" w14:textId="77777777" w:rsidR="007F4617" w:rsidRPr="006D5D41" w:rsidRDefault="00000000">
      <w:pPr>
        <w:pStyle w:val="Heading1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6D5D41">
        <w:rPr>
          <w:rFonts w:ascii="Times New Roman" w:hAnsi="Times New Roman" w:cs="Times New Roman"/>
          <w:color w:val="auto"/>
          <w:sz w:val="40"/>
          <w:szCs w:val="40"/>
        </w:rPr>
        <w:t>Client Report: Census Income Classification and Customer Segmentation</w:t>
      </w:r>
    </w:p>
    <w:p w14:paraId="357EA0A2" w14:textId="77777777" w:rsidR="007F4617" w:rsidRPr="006D5D4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t>1. Executive Summary</w:t>
      </w:r>
    </w:p>
    <w:p w14:paraId="55E52D6F" w14:textId="77777777" w:rsidR="007F4617" w:rsidRPr="006D5D41" w:rsidRDefault="00000000">
      <w:pPr>
        <w:spacing w:after="160"/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This project built two production-oriented analytics solutions from Census data: (a) a binary classifier to predict whether annual income is above 50K, and (b) a customer segmentation model to create actionable groups for marketing strategy. The classification workflow prioritizes minority-class precision/recall trade-offs using PR-AUC and threshold tuning. The segmentation workflow applies PCA plus KMeans and translates clusters into business-friendly segment narratives.</w:t>
      </w:r>
    </w:p>
    <w:p w14:paraId="540CD935" w14:textId="77777777" w:rsidR="007F4617" w:rsidRPr="006D5D4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t>2. Data Exploration and Pre-processing</w:t>
      </w:r>
    </w:p>
    <w:p w14:paraId="0BF5B6F3" w14:textId="77777777" w:rsidR="007F4617" w:rsidRPr="006D5D41" w:rsidRDefault="00000000">
      <w:pPr>
        <w:spacing w:after="160"/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Data exploration focused on shape, missingness, cardinality, and target imbalance. For classification, weak or sparse migration/origin administrative variables were removed, the target label was mapped to 0/1, education was ordinally encoded, selected categoricals were one-hot encoded, and high-cardinality fields were target-encoded after train/test split. For segmentation, a compact behavior-centric feature set was selected and transformed with ordinal mappings, binary behavioral flags, log transforms for skewed finance variables, and standard scaling.</w:t>
      </w:r>
    </w:p>
    <w:p w14:paraId="6C7842F2" w14:textId="77777777" w:rsidR="007F4617" w:rsidRPr="006D5D4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t>3. Model Architecture and Training Algorithm</w:t>
      </w:r>
    </w:p>
    <w:p w14:paraId="5CAD205E" w14:textId="77777777" w:rsidR="007F4617" w:rsidRPr="006D5D41" w:rsidRDefault="00000000">
      <w:pPr>
        <w:spacing w:after="160"/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Classification compared Logistic Regression, Random Forest, XGBoost, LightGBM, XGBoost with SMOTE, and a second XGBoost variant with feature engineering and wider hyperparameter search. RandomizedSearchCV with stratified folds was used for robust tuning. Decision threshold optimization was performed using F1 over precision-recall thresholds, rather than fixed 0.5 cutoff. Segmentation used PCA for dimensionality reduction and KMeans clustering; elbow and silhouette analyses guided selecting k=6 for actionable granularity.</w:t>
      </w:r>
    </w:p>
    <w:p w14:paraId="78BFAA0F" w14:textId="77777777" w:rsidR="007F4617" w:rsidRPr="006D5D4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t>4. Evaluation Procedure</w:t>
      </w:r>
    </w:p>
    <w:p w14:paraId="6BEC0193" w14:textId="77777777" w:rsidR="007F4617" w:rsidRPr="006D5D41" w:rsidRDefault="00000000">
      <w:pPr>
        <w:spacing w:after="160"/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Classification evaluation used ROC-AUC, PR-AUC, and minority-class precision, recall, and F1 on a held-out test set. PR-AUC was prioritized because income &gt;50K is the minority class and business action depends on positive-class quality. Segmentation evaluation used inertia (elbow behavior) and silhouette score, followed by profile validation through segment size and income-rate diagnostics.</w:t>
      </w:r>
    </w:p>
    <w:p w14:paraId="5805559E" w14:textId="77777777" w:rsidR="007F4617" w:rsidRPr="006D5D4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t>5. Classification Results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D5D41" w:rsidRPr="006D5D41" w14:paraId="57B10E44" w14:textId="77777777" w:rsidTr="00A56F10">
        <w:tc>
          <w:tcPr>
            <w:tcW w:w="1234" w:type="dxa"/>
          </w:tcPr>
          <w:p w14:paraId="5FB279EB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1234" w:type="dxa"/>
          </w:tcPr>
          <w:p w14:paraId="5CFC1F4F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PR-AUC</w:t>
            </w:r>
          </w:p>
        </w:tc>
        <w:tc>
          <w:tcPr>
            <w:tcW w:w="1234" w:type="dxa"/>
          </w:tcPr>
          <w:p w14:paraId="4F4A0BF7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ROC-AUC</w:t>
            </w:r>
          </w:p>
        </w:tc>
        <w:tc>
          <w:tcPr>
            <w:tcW w:w="1234" w:type="dxa"/>
          </w:tcPr>
          <w:p w14:paraId="66B9DCA4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F1 minority</w:t>
            </w:r>
          </w:p>
        </w:tc>
        <w:tc>
          <w:tcPr>
            <w:tcW w:w="1234" w:type="dxa"/>
          </w:tcPr>
          <w:p w14:paraId="03527E96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Recall minority</w:t>
            </w:r>
          </w:p>
        </w:tc>
        <w:tc>
          <w:tcPr>
            <w:tcW w:w="1234" w:type="dxa"/>
          </w:tcPr>
          <w:p w14:paraId="0ECEEF67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Precision minority</w:t>
            </w:r>
          </w:p>
        </w:tc>
        <w:tc>
          <w:tcPr>
            <w:tcW w:w="1234" w:type="dxa"/>
          </w:tcPr>
          <w:p w14:paraId="33C2EAA8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Threshold</w:t>
            </w:r>
          </w:p>
        </w:tc>
      </w:tr>
      <w:tr w:rsidR="006D5D41" w:rsidRPr="006D5D41" w14:paraId="6485221D" w14:textId="77777777" w:rsidTr="00A56F10">
        <w:tc>
          <w:tcPr>
            <w:tcW w:w="1234" w:type="dxa"/>
          </w:tcPr>
          <w:p w14:paraId="3E7D1B5F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5D41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1234" w:type="dxa"/>
          </w:tcPr>
          <w:p w14:paraId="608FEF17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0.6824</w:t>
            </w:r>
          </w:p>
        </w:tc>
        <w:tc>
          <w:tcPr>
            <w:tcW w:w="1234" w:type="dxa"/>
          </w:tcPr>
          <w:p w14:paraId="0CD42E8F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0.9531</w:t>
            </w:r>
          </w:p>
        </w:tc>
        <w:tc>
          <w:tcPr>
            <w:tcW w:w="1234" w:type="dxa"/>
          </w:tcPr>
          <w:p w14:paraId="430AD853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0.6237</w:t>
            </w:r>
          </w:p>
        </w:tc>
        <w:tc>
          <w:tcPr>
            <w:tcW w:w="1234" w:type="dxa"/>
          </w:tcPr>
          <w:p w14:paraId="1219C0B9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0.6288</w:t>
            </w:r>
          </w:p>
        </w:tc>
        <w:tc>
          <w:tcPr>
            <w:tcW w:w="1234" w:type="dxa"/>
          </w:tcPr>
          <w:p w14:paraId="01032126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0.6186</w:t>
            </w:r>
          </w:p>
        </w:tc>
        <w:tc>
          <w:tcPr>
            <w:tcW w:w="1234" w:type="dxa"/>
          </w:tcPr>
          <w:p w14:paraId="701B5B29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0.749</w:t>
            </w:r>
          </w:p>
        </w:tc>
      </w:tr>
      <w:tr w:rsidR="006D5D41" w:rsidRPr="006D5D41" w14:paraId="37234DA4" w14:textId="77777777" w:rsidTr="00A56F10">
        <w:tc>
          <w:tcPr>
            <w:tcW w:w="1234" w:type="dxa"/>
          </w:tcPr>
          <w:p w14:paraId="627A9F67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5D41">
              <w:rPr>
                <w:rFonts w:ascii="Times New Roman" w:hAnsi="Times New Roman" w:cs="Times New Roman"/>
              </w:rPr>
              <w:t>XGBoost</w:t>
            </w:r>
            <w:proofErr w:type="spellEnd"/>
            <w:r w:rsidRPr="006D5D41">
              <w:rPr>
                <w:rFonts w:ascii="Times New Roman" w:hAnsi="Times New Roman" w:cs="Times New Roman"/>
              </w:rPr>
              <w:t xml:space="preserve"> </w:t>
            </w:r>
            <w:r w:rsidRPr="006D5D41">
              <w:rPr>
                <w:rFonts w:ascii="Times New Roman" w:hAnsi="Times New Roman" w:cs="Times New Roman"/>
              </w:rPr>
              <w:lastRenderedPageBreak/>
              <w:t>V2</w:t>
            </w:r>
          </w:p>
        </w:tc>
        <w:tc>
          <w:tcPr>
            <w:tcW w:w="1234" w:type="dxa"/>
          </w:tcPr>
          <w:p w14:paraId="15422FB3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lastRenderedPageBreak/>
              <w:t>0.6801</w:t>
            </w:r>
          </w:p>
        </w:tc>
        <w:tc>
          <w:tcPr>
            <w:tcW w:w="1234" w:type="dxa"/>
          </w:tcPr>
          <w:p w14:paraId="272CB47B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0.9532</w:t>
            </w:r>
          </w:p>
        </w:tc>
        <w:tc>
          <w:tcPr>
            <w:tcW w:w="1234" w:type="dxa"/>
          </w:tcPr>
          <w:p w14:paraId="79148CFA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0.6272</w:t>
            </w:r>
          </w:p>
        </w:tc>
        <w:tc>
          <w:tcPr>
            <w:tcW w:w="1234" w:type="dxa"/>
          </w:tcPr>
          <w:p w14:paraId="247138CD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0.6135</w:t>
            </w:r>
          </w:p>
        </w:tc>
        <w:tc>
          <w:tcPr>
            <w:tcW w:w="1234" w:type="dxa"/>
          </w:tcPr>
          <w:p w14:paraId="269CCC31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0.6415</w:t>
            </w:r>
          </w:p>
        </w:tc>
        <w:tc>
          <w:tcPr>
            <w:tcW w:w="1234" w:type="dxa"/>
          </w:tcPr>
          <w:p w14:paraId="685244B9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0.869</w:t>
            </w:r>
          </w:p>
        </w:tc>
      </w:tr>
      <w:tr w:rsidR="006D5D41" w:rsidRPr="006D5D41" w14:paraId="6647912E" w14:textId="77777777" w:rsidTr="00A56F10">
        <w:tc>
          <w:tcPr>
            <w:tcW w:w="1234" w:type="dxa"/>
          </w:tcPr>
          <w:p w14:paraId="60665DA6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5D41">
              <w:rPr>
                <w:rFonts w:ascii="Times New Roman" w:hAnsi="Times New Roman" w:cs="Times New Roman"/>
              </w:rPr>
              <w:t>XGBoost</w:t>
            </w:r>
            <w:proofErr w:type="spellEnd"/>
            <w:r w:rsidRPr="006D5D41">
              <w:rPr>
                <w:rFonts w:ascii="Times New Roman" w:hAnsi="Times New Roman" w:cs="Times New Roman"/>
              </w:rPr>
              <w:t xml:space="preserve"> + SMOTE</w:t>
            </w:r>
          </w:p>
        </w:tc>
        <w:tc>
          <w:tcPr>
            <w:tcW w:w="1234" w:type="dxa"/>
          </w:tcPr>
          <w:p w14:paraId="522397AC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0.6701</w:t>
            </w:r>
          </w:p>
        </w:tc>
        <w:tc>
          <w:tcPr>
            <w:tcW w:w="1234" w:type="dxa"/>
          </w:tcPr>
          <w:p w14:paraId="3A7E90AE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0.9500</w:t>
            </w:r>
          </w:p>
        </w:tc>
        <w:tc>
          <w:tcPr>
            <w:tcW w:w="1234" w:type="dxa"/>
          </w:tcPr>
          <w:p w14:paraId="24812BF8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0.6097</w:t>
            </w:r>
          </w:p>
        </w:tc>
        <w:tc>
          <w:tcPr>
            <w:tcW w:w="1234" w:type="dxa"/>
          </w:tcPr>
          <w:p w14:paraId="0A808AE2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0.5658</w:t>
            </w:r>
          </w:p>
        </w:tc>
        <w:tc>
          <w:tcPr>
            <w:tcW w:w="1234" w:type="dxa"/>
          </w:tcPr>
          <w:p w14:paraId="005CC604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0.6608</w:t>
            </w:r>
          </w:p>
        </w:tc>
        <w:tc>
          <w:tcPr>
            <w:tcW w:w="1234" w:type="dxa"/>
          </w:tcPr>
          <w:p w14:paraId="022526A1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0.426</w:t>
            </w:r>
          </w:p>
        </w:tc>
      </w:tr>
      <w:tr w:rsidR="006D5D41" w:rsidRPr="006D5D41" w14:paraId="62AB7A31" w14:textId="77777777" w:rsidTr="00A56F10">
        <w:tc>
          <w:tcPr>
            <w:tcW w:w="1234" w:type="dxa"/>
          </w:tcPr>
          <w:p w14:paraId="62997DBE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1234" w:type="dxa"/>
          </w:tcPr>
          <w:p w14:paraId="3579DF74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0.6267</w:t>
            </w:r>
          </w:p>
        </w:tc>
        <w:tc>
          <w:tcPr>
            <w:tcW w:w="1234" w:type="dxa"/>
          </w:tcPr>
          <w:p w14:paraId="1F7E4188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0.9465</w:t>
            </w:r>
          </w:p>
        </w:tc>
        <w:tc>
          <w:tcPr>
            <w:tcW w:w="1234" w:type="dxa"/>
          </w:tcPr>
          <w:p w14:paraId="49A4B075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0.5874</w:t>
            </w:r>
          </w:p>
        </w:tc>
        <w:tc>
          <w:tcPr>
            <w:tcW w:w="1234" w:type="dxa"/>
          </w:tcPr>
          <w:p w14:paraId="4E125F3B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0.6002</w:t>
            </w:r>
          </w:p>
        </w:tc>
        <w:tc>
          <w:tcPr>
            <w:tcW w:w="1234" w:type="dxa"/>
          </w:tcPr>
          <w:p w14:paraId="31DC3566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0.5751</w:t>
            </w:r>
          </w:p>
        </w:tc>
        <w:tc>
          <w:tcPr>
            <w:tcW w:w="1234" w:type="dxa"/>
          </w:tcPr>
          <w:p w14:paraId="67F95129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0.774</w:t>
            </w:r>
          </w:p>
        </w:tc>
      </w:tr>
      <w:tr w:rsidR="006D5D41" w:rsidRPr="006D5D41" w14:paraId="352564A4" w14:textId="77777777" w:rsidTr="00A56F10">
        <w:tc>
          <w:tcPr>
            <w:tcW w:w="1234" w:type="dxa"/>
          </w:tcPr>
          <w:p w14:paraId="677BA402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234" w:type="dxa"/>
          </w:tcPr>
          <w:p w14:paraId="0D4FC462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0.5861</w:t>
            </w:r>
          </w:p>
        </w:tc>
        <w:tc>
          <w:tcPr>
            <w:tcW w:w="1234" w:type="dxa"/>
          </w:tcPr>
          <w:p w14:paraId="482DAD68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0.9392</w:t>
            </w:r>
          </w:p>
        </w:tc>
        <w:tc>
          <w:tcPr>
            <w:tcW w:w="1234" w:type="dxa"/>
          </w:tcPr>
          <w:p w14:paraId="1B624567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0.5572</w:t>
            </w:r>
          </w:p>
        </w:tc>
        <w:tc>
          <w:tcPr>
            <w:tcW w:w="1234" w:type="dxa"/>
          </w:tcPr>
          <w:p w14:paraId="240D32FF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0.5404</w:t>
            </w:r>
          </w:p>
        </w:tc>
        <w:tc>
          <w:tcPr>
            <w:tcW w:w="1234" w:type="dxa"/>
          </w:tcPr>
          <w:p w14:paraId="296A2B6B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0.5750</w:t>
            </w:r>
          </w:p>
        </w:tc>
        <w:tc>
          <w:tcPr>
            <w:tcW w:w="1234" w:type="dxa"/>
          </w:tcPr>
          <w:p w14:paraId="691065FC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0.879</w:t>
            </w:r>
          </w:p>
        </w:tc>
      </w:tr>
      <w:tr w:rsidR="006D5D41" w:rsidRPr="006D5D41" w14:paraId="49D0639B" w14:textId="77777777" w:rsidTr="00A56F10">
        <w:tc>
          <w:tcPr>
            <w:tcW w:w="1234" w:type="dxa"/>
          </w:tcPr>
          <w:p w14:paraId="7692B739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5D41">
              <w:rPr>
                <w:rFonts w:ascii="Times New Roman" w:hAnsi="Times New Roman" w:cs="Times New Roman"/>
              </w:rPr>
              <w:t>LightGBM</w:t>
            </w:r>
            <w:proofErr w:type="spellEnd"/>
          </w:p>
        </w:tc>
        <w:tc>
          <w:tcPr>
            <w:tcW w:w="1234" w:type="dxa"/>
          </w:tcPr>
          <w:p w14:paraId="758C0921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0.2169</w:t>
            </w:r>
          </w:p>
        </w:tc>
        <w:tc>
          <w:tcPr>
            <w:tcW w:w="1234" w:type="dxa"/>
          </w:tcPr>
          <w:p w14:paraId="184727E8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0.8080</w:t>
            </w:r>
          </w:p>
        </w:tc>
        <w:tc>
          <w:tcPr>
            <w:tcW w:w="1234" w:type="dxa"/>
          </w:tcPr>
          <w:p w14:paraId="7CD2BEED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0.3043</w:t>
            </w:r>
          </w:p>
        </w:tc>
        <w:tc>
          <w:tcPr>
            <w:tcW w:w="1234" w:type="dxa"/>
          </w:tcPr>
          <w:p w14:paraId="3BF38D86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0.4641</w:t>
            </w:r>
          </w:p>
        </w:tc>
        <w:tc>
          <w:tcPr>
            <w:tcW w:w="1234" w:type="dxa"/>
          </w:tcPr>
          <w:p w14:paraId="0989183D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0.2264</w:t>
            </w:r>
          </w:p>
        </w:tc>
        <w:tc>
          <w:tcPr>
            <w:tcW w:w="1234" w:type="dxa"/>
          </w:tcPr>
          <w:p w14:paraId="6B73855E" w14:textId="77777777" w:rsidR="007F4617" w:rsidRPr="006D5D41" w:rsidRDefault="00000000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0.025</w:t>
            </w:r>
          </w:p>
        </w:tc>
      </w:tr>
    </w:tbl>
    <w:p w14:paraId="5A89FFE8" w14:textId="77777777" w:rsidR="007F4617" w:rsidRPr="006D5D41" w:rsidRDefault="00000000">
      <w:p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 xml:space="preserve">Best model by PR-AUC: </w:t>
      </w:r>
      <w:proofErr w:type="spellStart"/>
      <w:r w:rsidRPr="006D5D41">
        <w:rPr>
          <w:rFonts w:ascii="Times New Roman" w:hAnsi="Times New Roman" w:cs="Times New Roman"/>
        </w:rPr>
        <w:t>XGBoost</w:t>
      </w:r>
      <w:proofErr w:type="spellEnd"/>
      <w:r w:rsidRPr="006D5D41">
        <w:rPr>
          <w:rFonts w:ascii="Times New Roman" w:hAnsi="Times New Roman" w:cs="Times New Roman"/>
        </w:rPr>
        <w:t>. Recommended serving threshold: 0.749.</w:t>
      </w:r>
    </w:p>
    <w:p w14:paraId="7B2B55DF" w14:textId="77777777" w:rsidR="007F4617" w:rsidRPr="006D5D4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t>6. Segmentation Findings and Business Recommendations</w:t>
      </w:r>
    </w:p>
    <w:p w14:paraId="488A501C" w14:textId="77777777" w:rsidR="007F4617" w:rsidRPr="006D5D41" w:rsidRDefault="00000000">
      <w:pPr>
        <w:spacing w:after="160"/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The final segmentation uses six clusters and supports differentiated go-to-market actions: high-value premium campaigns for top-income segments, value-focused bundles for middle-income groups, and indirect household targeting for dependent-heavy segments. Recommendation is to operationalize segment-level marketing plays with controlled experiments and quarterly model refreshes.</w:t>
      </w:r>
    </w:p>
    <w:p w14:paraId="7D302500" w14:textId="77777777" w:rsidR="007F4617" w:rsidRPr="006D5D4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t>7. Business Judgment and Decision Rationale</w:t>
      </w:r>
    </w:p>
    <w:p w14:paraId="3B08613E" w14:textId="77777777" w:rsidR="007F4617" w:rsidRPr="006D5D41" w:rsidRDefault="00000000">
      <w:pPr>
        <w:spacing w:after="160"/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Key decisions included dropping administratively noisy fields, preserving interpretable transformations, prioritizing PR-AUC for imbalanced classification, using threshold tuning to align with campaign economics, and selecting six segments for actionability rather than maximum statistical granularity. Model usage recommendation: deploy the best PR-AUC classifier with calibrated threshold controls and use segment outputs as a campaign stratification layer.</w:t>
      </w:r>
    </w:p>
    <w:p w14:paraId="4B876542" w14:textId="77777777" w:rsidR="007F4617" w:rsidRPr="006D5D4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lastRenderedPageBreak/>
        <w:t>8. Visualizations</w:t>
      </w:r>
    </w:p>
    <w:p w14:paraId="244477BC" w14:textId="77777777" w:rsidR="007F4617" w:rsidRPr="006D5D41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t>Training Class Distribution</w:t>
      </w:r>
    </w:p>
    <w:p w14:paraId="71B22A35" w14:textId="77777777" w:rsidR="007F4617" w:rsidRPr="006D5D41" w:rsidRDefault="00000000">
      <w:p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  <w:noProof/>
        </w:rPr>
        <w:drawing>
          <wp:inline distT="0" distB="0" distL="0" distR="0" wp14:anchorId="054D503C" wp14:editId="020BBF67">
            <wp:extent cx="5669280" cy="283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14F6" w14:textId="77777777" w:rsidR="007F4617" w:rsidRPr="006D5D41" w:rsidRDefault="00000000">
      <w:pPr>
        <w:jc w:val="center"/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Figure: Training Class Distribution</w:t>
      </w:r>
    </w:p>
    <w:p w14:paraId="2CD2F5D0" w14:textId="77777777" w:rsidR="007F4617" w:rsidRPr="006D5D41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t>Classification Model Comparison (PR-AUC)</w:t>
      </w:r>
    </w:p>
    <w:p w14:paraId="342CFB3D" w14:textId="77777777" w:rsidR="007F4617" w:rsidRPr="006D5D41" w:rsidRDefault="00000000">
      <w:p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  <w:noProof/>
        </w:rPr>
        <w:drawing>
          <wp:inline distT="0" distB="0" distL="0" distR="0" wp14:anchorId="17BA8F56" wp14:editId="6B19A391">
            <wp:extent cx="5669280" cy="283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_pr_au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225C" w14:textId="77777777" w:rsidR="007F4617" w:rsidRPr="006D5D41" w:rsidRDefault="00000000">
      <w:pPr>
        <w:jc w:val="center"/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Figure: Classification Model Comparison (PR-AUC)</w:t>
      </w:r>
    </w:p>
    <w:p w14:paraId="25C5FD0A" w14:textId="77777777" w:rsidR="007F4617" w:rsidRPr="006D5D41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lastRenderedPageBreak/>
        <w:t>Best Model Confusion Matrix</w:t>
      </w:r>
    </w:p>
    <w:p w14:paraId="37892567" w14:textId="77777777" w:rsidR="007F4617" w:rsidRPr="006D5D41" w:rsidRDefault="00000000">
      <w:p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  <w:noProof/>
        </w:rPr>
        <w:drawing>
          <wp:inline distT="0" distB="0" distL="0" distR="0" wp14:anchorId="51A4F3E7" wp14:editId="402DB312">
            <wp:extent cx="5669280" cy="472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t_model_confus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9FCF" w14:textId="77777777" w:rsidR="007F4617" w:rsidRPr="006D5D41" w:rsidRDefault="00000000">
      <w:pPr>
        <w:jc w:val="center"/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Figure: Best Model Confusion Matrix</w:t>
      </w:r>
    </w:p>
    <w:p w14:paraId="193B954E" w14:textId="77777777" w:rsidR="007F4617" w:rsidRPr="006D5D41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lastRenderedPageBreak/>
        <w:t>Segment Sizes</w:t>
      </w:r>
    </w:p>
    <w:p w14:paraId="1DDB814B" w14:textId="77777777" w:rsidR="007F4617" w:rsidRPr="006D5D41" w:rsidRDefault="00000000">
      <w:p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  <w:noProof/>
        </w:rPr>
        <w:drawing>
          <wp:inline distT="0" distB="0" distL="0" distR="0" wp14:anchorId="343B7E53" wp14:editId="696A0640">
            <wp:extent cx="5669280" cy="283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_s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D751" w14:textId="77777777" w:rsidR="007F4617" w:rsidRPr="006D5D41" w:rsidRDefault="00000000">
      <w:pPr>
        <w:jc w:val="center"/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Figure: Segment Sizes</w:t>
      </w:r>
    </w:p>
    <w:p w14:paraId="407FF353" w14:textId="77777777" w:rsidR="007F4617" w:rsidRPr="006D5D41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t>High-Income Rate by Segment</w:t>
      </w:r>
    </w:p>
    <w:p w14:paraId="07A69A23" w14:textId="77777777" w:rsidR="007F4617" w:rsidRPr="006D5D41" w:rsidRDefault="00000000">
      <w:p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  <w:noProof/>
        </w:rPr>
        <w:drawing>
          <wp:inline distT="0" distB="0" distL="0" distR="0" wp14:anchorId="237EA5C2" wp14:editId="4CA9DB84">
            <wp:extent cx="5669280" cy="2834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_income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E22C" w14:textId="77777777" w:rsidR="007F4617" w:rsidRPr="006D5D41" w:rsidRDefault="00000000">
      <w:pPr>
        <w:jc w:val="center"/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Figure: High-Income Rate by Segment</w:t>
      </w:r>
    </w:p>
    <w:p w14:paraId="01B860F8" w14:textId="77777777" w:rsidR="007F4617" w:rsidRPr="006D5D41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lastRenderedPageBreak/>
        <w:t>Segmentation in PCA Space</w:t>
      </w:r>
    </w:p>
    <w:p w14:paraId="196CB94D" w14:textId="77777777" w:rsidR="007F4617" w:rsidRPr="006D5D41" w:rsidRDefault="00000000">
      <w:p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  <w:noProof/>
        </w:rPr>
        <w:drawing>
          <wp:inline distT="0" distB="0" distL="0" distR="0" wp14:anchorId="2B574134" wp14:editId="4D6D3118">
            <wp:extent cx="5669280" cy="48593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ation_pca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8315" w14:textId="77777777" w:rsidR="007F4617" w:rsidRPr="006D5D41" w:rsidRDefault="00000000">
      <w:pPr>
        <w:jc w:val="center"/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Figure: Segmentation in PCA Space</w:t>
      </w:r>
    </w:p>
    <w:p w14:paraId="506AB1BE" w14:textId="77777777" w:rsidR="007F4617" w:rsidRPr="006D5D4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D5D41">
        <w:rPr>
          <w:rFonts w:ascii="Times New Roman" w:hAnsi="Times New Roman" w:cs="Times New Roman"/>
          <w:color w:val="auto"/>
        </w:rPr>
        <w:t>9. References</w:t>
      </w:r>
    </w:p>
    <w:p w14:paraId="28319C45" w14:textId="77777777" w:rsidR="007F4617" w:rsidRPr="006D5D41" w:rsidRDefault="00000000" w:rsidP="00A56F1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Scikit-learn official documentation (model selection, metrics, PCA, KMeans).</w:t>
      </w:r>
    </w:p>
    <w:p w14:paraId="1244B92B" w14:textId="77777777" w:rsidR="007F4617" w:rsidRPr="006D5D41" w:rsidRDefault="00000000" w:rsidP="00A56F1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XGBoost documentation (classifier parameters and imbalance handling).</w:t>
      </w:r>
    </w:p>
    <w:p w14:paraId="71805FA4" w14:textId="77777777" w:rsidR="007F4617" w:rsidRPr="006D5D41" w:rsidRDefault="00000000" w:rsidP="00A56F1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LightGBM documentation (tree boosting and class weighting).</w:t>
      </w:r>
    </w:p>
    <w:p w14:paraId="64E1F92F" w14:textId="77777777" w:rsidR="007F4617" w:rsidRPr="006D5D41" w:rsidRDefault="00000000" w:rsidP="00A56F1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CatBoost documentation (gradient boosting for structured data).</w:t>
      </w:r>
    </w:p>
    <w:p w14:paraId="4C215B69" w14:textId="77777777" w:rsidR="007F4617" w:rsidRPr="006D5D41" w:rsidRDefault="00000000" w:rsidP="00A56F1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Imbalanced-learn documentation (SMOTE strategy and caveats).</w:t>
      </w:r>
    </w:p>
    <w:p w14:paraId="36BCB518" w14:textId="77777777" w:rsidR="007F4617" w:rsidRPr="006D5D41" w:rsidRDefault="00000000" w:rsidP="00A56F1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Pandas and NumPy documentation for data processing operations.</w:t>
      </w:r>
    </w:p>
    <w:p w14:paraId="598CB01E" w14:textId="630BA377" w:rsidR="007F4617" w:rsidRPr="00A56F10" w:rsidRDefault="00000000" w:rsidP="00A56F1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6D5D41">
        <w:rPr>
          <w:rFonts w:ascii="Times New Roman" w:hAnsi="Times New Roman" w:cs="Times New Roman"/>
        </w:rPr>
        <w:t>U.S. Census dataset documentation provided with the assignment files.</w:t>
      </w:r>
    </w:p>
    <w:sectPr w:rsidR="007F4617" w:rsidRPr="00A56F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EB6271"/>
    <w:multiLevelType w:val="hybridMultilevel"/>
    <w:tmpl w:val="CBAE4C9C"/>
    <w:lvl w:ilvl="0" w:tplc="CFEE94A8">
      <w:start w:val="1"/>
      <w:numFmt w:val="decimal"/>
      <w:lvlText w:val="[%1] 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8832789">
    <w:abstractNumId w:val="8"/>
  </w:num>
  <w:num w:numId="2" w16cid:durableId="1493789947">
    <w:abstractNumId w:val="6"/>
  </w:num>
  <w:num w:numId="3" w16cid:durableId="92551195">
    <w:abstractNumId w:val="5"/>
  </w:num>
  <w:num w:numId="4" w16cid:durableId="1707948420">
    <w:abstractNumId w:val="4"/>
  </w:num>
  <w:num w:numId="5" w16cid:durableId="527572314">
    <w:abstractNumId w:val="7"/>
  </w:num>
  <w:num w:numId="6" w16cid:durableId="224146458">
    <w:abstractNumId w:val="3"/>
  </w:num>
  <w:num w:numId="7" w16cid:durableId="441341763">
    <w:abstractNumId w:val="2"/>
  </w:num>
  <w:num w:numId="8" w16cid:durableId="1118913936">
    <w:abstractNumId w:val="1"/>
  </w:num>
  <w:num w:numId="9" w16cid:durableId="755440601">
    <w:abstractNumId w:val="0"/>
  </w:num>
  <w:num w:numId="10" w16cid:durableId="2157464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D41"/>
    <w:rsid w:val="007F4617"/>
    <w:rsid w:val="00A56F10"/>
    <w:rsid w:val="00AA1D8D"/>
    <w:rsid w:val="00B47730"/>
    <w:rsid w:val="00CB0664"/>
    <w:rsid w:val="00F667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15152"/>
  <w14:defaultImageDpi w14:val="300"/>
  <w15:docId w15:val="{F063E6D3-E847-4FD0-9784-83902222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Cheela, Shreejit Chander</cp:lastModifiedBy>
  <cp:revision>3</cp:revision>
  <dcterms:created xsi:type="dcterms:W3CDTF">2013-12-23T23:15:00Z</dcterms:created>
  <dcterms:modified xsi:type="dcterms:W3CDTF">2026-04-19T03:47:00Z</dcterms:modified>
  <cp:category/>
</cp:coreProperties>
</file>