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781C" w14:textId="77777777" w:rsidR="003E5A6E" w:rsidRDefault="003E5A6E" w:rsidP="003E5A6E">
      <w:pPr>
        <w:rPr>
          <w:b/>
          <w:bCs/>
          <w:sz w:val="56"/>
          <w:szCs w:val="56"/>
        </w:rPr>
      </w:pPr>
      <w:r w:rsidRPr="003E5A6E">
        <w:rPr>
          <w:b/>
          <w:bCs/>
          <w:sz w:val="56"/>
          <w:szCs w:val="56"/>
        </w:rPr>
        <w:t>Online Retail Store Data Analysis Project Report</w:t>
      </w:r>
    </w:p>
    <w:p w14:paraId="29243691" w14:textId="77777777" w:rsidR="003E5A6E" w:rsidRPr="003E5A6E" w:rsidRDefault="003E5A6E" w:rsidP="003E5A6E">
      <w:pPr>
        <w:rPr>
          <w:b/>
          <w:bCs/>
          <w:sz w:val="56"/>
          <w:szCs w:val="56"/>
        </w:rPr>
      </w:pPr>
    </w:p>
    <w:p w14:paraId="30E79361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Table of Contents</w:t>
      </w:r>
    </w:p>
    <w:p w14:paraId="3F0DB579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Introduction</w:t>
      </w:r>
    </w:p>
    <w:p w14:paraId="0BF7B681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Objectives</w:t>
      </w:r>
    </w:p>
    <w:p w14:paraId="39213AA5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Tools Used</w:t>
      </w:r>
    </w:p>
    <w:p w14:paraId="4AD3A63B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Data Preparation and Cleanup</w:t>
      </w:r>
    </w:p>
    <w:p w14:paraId="349CFA8E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Identified Issues</w:t>
      </w:r>
    </w:p>
    <w:p w14:paraId="0544DA41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Cleanup Methods</w:t>
      </w:r>
    </w:p>
    <w:p w14:paraId="3D7599B9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Analysis and Findings</w:t>
      </w:r>
    </w:p>
    <w:p w14:paraId="63972B31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CEO-Focused Insights</w:t>
      </w:r>
    </w:p>
    <w:p w14:paraId="3960E09A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Region-Based Revenue Analysis</w:t>
      </w:r>
    </w:p>
    <w:p w14:paraId="549539B4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Monthly Revenue Trends</w:t>
      </w:r>
    </w:p>
    <w:p w14:paraId="7BD38C59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Seasonality in Sales</w:t>
      </w:r>
    </w:p>
    <w:p w14:paraId="7DBC29FD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Top Customers and Revenue Dependency</w:t>
      </w:r>
    </w:p>
    <w:p w14:paraId="36A3D243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CMO-Focused Insights</w:t>
      </w:r>
    </w:p>
    <w:p w14:paraId="45C617DA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Customer Retention and Repeat Purchases</w:t>
      </w:r>
    </w:p>
    <w:p w14:paraId="5B8DD2EC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Time Gap Between Purchases</w:t>
      </w:r>
    </w:p>
    <w:p w14:paraId="6AE18192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Revenue from Repeat Customers</w:t>
      </w:r>
    </w:p>
    <w:p w14:paraId="6834B612" w14:textId="77777777" w:rsidR="003E5A6E" w:rsidRPr="003E5A6E" w:rsidRDefault="003E5A6E" w:rsidP="003E5A6E">
      <w:pPr>
        <w:numPr>
          <w:ilvl w:val="2"/>
          <w:numId w:val="4"/>
        </w:numPr>
      </w:pPr>
      <w:r w:rsidRPr="003E5A6E">
        <w:t>High-Frequency Customers and Revenue Contribution</w:t>
      </w:r>
    </w:p>
    <w:p w14:paraId="4939D071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Visualizations</w:t>
      </w:r>
    </w:p>
    <w:p w14:paraId="49FE5B36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Overview</w:t>
      </w:r>
    </w:p>
    <w:p w14:paraId="3DFE107E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Tabs and Their Content</w:t>
      </w:r>
    </w:p>
    <w:p w14:paraId="56CB7E80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Conclusion and Recommendations</w:t>
      </w:r>
    </w:p>
    <w:p w14:paraId="57C0CE57" w14:textId="77777777" w:rsidR="003E5A6E" w:rsidRPr="003E5A6E" w:rsidRDefault="003E5A6E" w:rsidP="003E5A6E">
      <w:pPr>
        <w:numPr>
          <w:ilvl w:val="0"/>
          <w:numId w:val="4"/>
        </w:numPr>
      </w:pPr>
      <w:r w:rsidRPr="003E5A6E">
        <w:rPr>
          <w:b/>
          <w:bCs/>
        </w:rPr>
        <w:t>Appendices</w:t>
      </w:r>
    </w:p>
    <w:p w14:paraId="1AB8B148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Raw Data Cleanup Example</w:t>
      </w:r>
    </w:p>
    <w:p w14:paraId="3A75CA2F" w14:textId="77777777" w:rsidR="003E5A6E" w:rsidRPr="003E5A6E" w:rsidRDefault="003E5A6E" w:rsidP="003E5A6E">
      <w:pPr>
        <w:numPr>
          <w:ilvl w:val="1"/>
          <w:numId w:val="4"/>
        </w:numPr>
      </w:pPr>
      <w:r w:rsidRPr="003E5A6E">
        <w:t>Visuals and Files Information</w:t>
      </w:r>
    </w:p>
    <w:p w14:paraId="53DA3B4C" w14:textId="77777777" w:rsidR="003E5A6E" w:rsidRPr="003E5A6E" w:rsidRDefault="003E5A6E" w:rsidP="003E5A6E">
      <w:r w:rsidRPr="003E5A6E">
        <w:lastRenderedPageBreak/>
        <w:pict w14:anchorId="26A4ECC9">
          <v:rect id="_x0000_i1133" style="width:0;height:1.5pt" o:hralign="center" o:hrstd="t" o:hr="t" fillcolor="#a0a0a0" stroked="f"/>
        </w:pict>
      </w:r>
    </w:p>
    <w:p w14:paraId="7621C4B9" w14:textId="77777777" w:rsidR="003E5A6E" w:rsidRPr="003E5A6E" w:rsidRDefault="003E5A6E" w:rsidP="003E5A6E">
      <w:pPr>
        <w:rPr>
          <w:b/>
          <w:bCs/>
          <w:sz w:val="36"/>
          <w:szCs w:val="36"/>
        </w:rPr>
      </w:pPr>
      <w:r w:rsidRPr="003E5A6E">
        <w:rPr>
          <w:b/>
          <w:bCs/>
          <w:sz w:val="36"/>
          <w:szCs w:val="36"/>
        </w:rPr>
        <w:t>1. Introduction</w:t>
      </w:r>
    </w:p>
    <w:p w14:paraId="0884DF8D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Objectives</w:t>
      </w:r>
    </w:p>
    <w:p w14:paraId="6C80DEE4" w14:textId="2CF68E8E" w:rsidR="003E5A6E" w:rsidRPr="003E5A6E" w:rsidRDefault="003E5A6E" w:rsidP="003E5A6E">
      <w:r w:rsidRPr="003E5A6E">
        <w:t xml:space="preserve">This project focuses on </w:t>
      </w:r>
      <w:r w:rsidRPr="003E5A6E">
        <w:t>analysing</w:t>
      </w:r>
      <w:r w:rsidRPr="003E5A6E">
        <w:t xml:space="preserve"> the operational performance, revenue generation, customer </w:t>
      </w:r>
      <w:r w:rsidRPr="003E5A6E">
        <w:t>behaviour</w:t>
      </w:r>
      <w:r w:rsidRPr="003E5A6E">
        <w:t>, and marketing strategies of an online retail store. The key stakeholders include the CEO and the CMO, whose questions guide the analysis.</w:t>
      </w:r>
    </w:p>
    <w:p w14:paraId="26F3B349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Tools Used</w:t>
      </w:r>
    </w:p>
    <w:p w14:paraId="6E31C511" w14:textId="77777777" w:rsidR="003E5A6E" w:rsidRPr="003E5A6E" w:rsidRDefault="003E5A6E" w:rsidP="003E5A6E">
      <w:pPr>
        <w:numPr>
          <w:ilvl w:val="0"/>
          <w:numId w:val="5"/>
        </w:numPr>
      </w:pPr>
      <w:r w:rsidRPr="003E5A6E">
        <w:rPr>
          <w:b/>
          <w:bCs/>
        </w:rPr>
        <w:t>Power BI</w:t>
      </w:r>
      <w:r w:rsidRPr="003E5A6E">
        <w:t>: For data visualization and interactive dashboards.</w:t>
      </w:r>
    </w:p>
    <w:p w14:paraId="06621D4F" w14:textId="77777777" w:rsidR="003E5A6E" w:rsidRPr="003E5A6E" w:rsidRDefault="003E5A6E" w:rsidP="003E5A6E">
      <w:pPr>
        <w:numPr>
          <w:ilvl w:val="0"/>
          <w:numId w:val="5"/>
        </w:numPr>
      </w:pPr>
      <w:r w:rsidRPr="003E5A6E">
        <w:rPr>
          <w:b/>
          <w:bCs/>
        </w:rPr>
        <w:t>Excel</w:t>
      </w:r>
      <w:r w:rsidRPr="003E5A6E">
        <w:t>: For data cleaning, transformation, and preliminary analysis.</w:t>
      </w:r>
    </w:p>
    <w:p w14:paraId="7D0B0430" w14:textId="77777777" w:rsidR="003E5A6E" w:rsidRPr="003E5A6E" w:rsidRDefault="003E5A6E" w:rsidP="003E5A6E">
      <w:r w:rsidRPr="003E5A6E">
        <w:pict w14:anchorId="201CA61A">
          <v:rect id="_x0000_i1134" style="width:0;height:1.5pt" o:hralign="center" o:hrstd="t" o:hr="t" fillcolor="#a0a0a0" stroked="f"/>
        </w:pict>
      </w:r>
    </w:p>
    <w:p w14:paraId="2AAC90E3" w14:textId="77777777" w:rsidR="003E5A6E" w:rsidRPr="003E5A6E" w:rsidRDefault="003E5A6E" w:rsidP="003E5A6E">
      <w:pPr>
        <w:rPr>
          <w:b/>
          <w:bCs/>
          <w:sz w:val="36"/>
          <w:szCs w:val="36"/>
        </w:rPr>
      </w:pPr>
      <w:r w:rsidRPr="003E5A6E">
        <w:rPr>
          <w:b/>
          <w:bCs/>
          <w:sz w:val="36"/>
          <w:szCs w:val="36"/>
        </w:rPr>
        <w:t>2. Data Preparation and Cleanup</w:t>
      </w:r>
    </w:p>
    <w:p w14:paraId="393F1A39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Identified Issues</w:t>
      </w:r>
    </w:p>
    <w:p w14:paraId="44DDDAAB" w14:textId="77777777" w:rsidR="003E5A6E" w:rsidRPr="003E5A6E" w:rsidRDefault="003E5A6E" w:rsidP="003E5A6E">
      <w:pPr>
        <w:numPr>
          <w:ilvl w:val="0"/>
          <w:numId w:val="6"/>
        </w:numPr>
      </w:pPr>
      <w:r w:rsidRPr="003E5A6E">
        <w:rPr>
          <w:b/>
          <w:bCs/>
        </w:rPr>
        <w:t>Negative Quantities</w:t>
      </w:r>
      <w:r w:rsidRPr="003E5A6E">
        <w:t>: Represent returns or erroneous data.</w:t>
      </w:r>
    </w:p>
    <w:p w14:paraId="0E1AA36C" w14:textId="77777777" w:rsidR="003E5A6E" w:rsidRPr="003E5A6E" w:rsidRDefault="003E5A6E" w:rsidP="003E5A6E">
      <w:pPr>
        <w:numPr>
          <w:ilvl w:val="0"/>
          <w:numId w:val="6"/>
        </w:numPr>
      </w:pPr>
      <w:r w:rsidRPr="003E5A6E">
        <w:rPr>
          <w:b/>
          <w:bCs/>
        </w:rPr>
        <w:t>Invalid Unit Prices</w:t>
      </w:r>
      <w:r w:rsidRPr="003E5A6E">
        <w:t>: Unit prices below $0 are input errors.</w:t>
      </w:r>
    </w:p>
    <w:p w14:paraId="2EFC1CC9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Cleanup Methods</w:t>
      </w:r>
    </w:p>
    <w:p w14:paraId="18E9077D" w14:textId="77777777" w:rsidR="003E5A6E" w:rsidRPr="003E5A6E" w:rsidRDefault="003E5A6E" w:rsidP="003E5A6E">
      <w:pPr>
        <w:numPr>
          <w:ilvl w:val="0"/>
          <w:numId w:val="7"/>
        </w:numPr>
      </w:pPr>
      <w:r w:rsidRPr="003E5A6E">
        <w:rPr>
          <w:b/>
          <w:bCs/>
        </w:rPr>
        <w:t>Conditional Filtering</w:t>
      </w:r>
      <w:r w:rsidRPr="003E5A6E">
        <w:t>:</w:t>
      </w:r>
    </w:p>
    <w:p w14:paraId="3ED1104A" w14:textId="77777777" w:rsidR="003E5A6E" w:rsidRPr="003E5A6E" w:rsidRDefault="003E5A6E" w:rsidP="003E5A6E">
      <w:pPr>
        <w:numPr>
          <w:ilvl w:val="1"/>
          <w:numId w:val="7"/>
        </w:numPr>
      </w:pPr>
      <w:r w:rsidRPr="003E5A6E">
        <w:rPr>
          <w:b/>
          <w:bCs/>
        </w:rPr>
        <w:t>Quantity</w:t>
      </w:r>
      <w:r w:rsidRPr="003E5A6E">
        <w:t>: Exclude data with quantities less than 1.</w:t>
      </w:r>
    </w:p>
    <w:p w14:paraId="756AC477" w14:textId="77777777" w:rsidR="003E5A6E" w:rsidRPr="003E5A6E" w:rsidRDefault="003E5A6E" w:rsidP="003E5A6E">
      <w:pPr>
        <w:numPr>
          <w:ilvl w:val="1"/>
          <w:numId w:val="7"/>
        </w:numPr>
      </w:pPr>
      <w:r w:rsidRPr="003E5A6E">
        <w:rPr>
          <w:b/>
          <w:bCs/>
        </w:rPr>
        <w:t>Unit Price</w:t>
      </w:r>
      <w:r w:rsidRPr="003E5A6E">
        <w:t>: Exclude data with unit prices below $0.</w:t>
      </w:r>
    </w:p>
    <w:p w14:paraId="1C00046A" w14:textId="77777777" w:rsidR="003E5A6E" w:rsidRPr="003E5A6E" w:rsidRDefault="003E5A6E" w:rsidP="003E5A6E">
      <w:pPr>
        <w:numPr>
          <w:ilvl w:val="0"/>
          <w:numId w:val="7"/>
        </w:numPr>
      </w:pPr>
      <w:r w:rsidRPr="003E5A6E">
        <w:rPr>
          <w:b/>
          <w:bCs/>
        </w:rPr>
        <w:t>Data Transformation</w:t>
      </w:r>
      <w:r w:rsidRPr="003E5A6E">
        <w:t>:</w:t>
      </w:r>
    </w:p>
    <w:p w14:paraId="47B621A9" w14:textId="77777777" w:rsidR="003E5A6E" w:rsidRPr="003E5A6E" w:rsidRDefault="003E5A6E" w:rsidP="003E5A6E">
      <w:pPr>
        <w:numPr>
          <w:ilvl w:val="1"/>
          <w:numId w:val="7"/>
        </w:numPr>
      </w:pPr>
      <w:r w:rsidRPr="003E5A6E">
        <w:t>Applied Excel formulas and Power BI transformations to ensure clean data for analysis.</w:t>
      </w:r>
    </w:p>
    <w:p w14:paraId="3136315A" w14:textId="77777777" w:rsidR="003E5A6E" w:rsidRPr="003E5A6E" w:rsidRDefault="003E5A6E" w:rsidP="003E5A6E">
      <w:r w:rsidRPr="003E5A6E">
        <w:pict w14:anchorId="061CE713">
          <v:rect id="_x0000_i1135" style="width:0;height:1.5pt" o:hralign="center" o:hrstd="t" o:hr="t" fillcolor="#a0a0a0" stroked="f"/>
        </w:pict>
      </w:r>
    </w:p>
    <w:p w14:paraId="07102530" w14:textId="77777777" w:rsidR="003E5A6E" w:rsidRPr="003E5A6E" w:rsidRDefault="003E5A6E" w:rsidP="003E5A6E">
      <w:pPr>
        <w:rPr>
          <w:b/>
          <w:bCs/>
          <w:sz w:val="36"/>
          <w:szCs w:val="36"/>
        </w:rPr>
      </w:pPr>
      <w:r w:rsidRPr="003E5A6E">
        <w:rPr>
          <w:b/>
          <w:bCs/>
          <w:sz w:val="36"/>
          <w:szCs w:val="36"/>
        </w:rPr>
        <w:t>3. Analysis and Findings</w:t>
      </w:r>
    </w:p>
    <w:p w14:paraId="116F4D99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CEO-Focused Insights</w:t>
      </w:r>
    </w:p>
    <w:p w14:paraId="7600B208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1. Region-Based Revenue Analysis</w:t>
      </w:r>
    </w:p>
    <w:p w14:paraId="13BAD9BD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Which region is generating the highest and lowest revenue?</w:t>
      </w:r>
    </w:p>
    <w:p w14:paraId="023FF2D1" w14:textId="77777777" w:rsidR="003E5A6E" w:rsidRPr="003E5A6E" w:rsidRDefault="003E5A6E" w:rsidP="003E5A6E">
      <w:pPr>
        <w:numPr>
          <w:ilvl w:val="0"/>
          <w:numId w:val="8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6A52F684" w14:textId="77777777" w:rsidR="003E5A6E" w:rsidRPr="003E5A6E" w:rsidRDefault="003E5A6E" w:rsidP="003E5A6E">
      <w:pPr>
        <w:numPr>
          <w:ilvl w:val="1"/>
          <w:numId w:val="8"/>
        </w:numPr>
      </w:pPr>
      <w:r w:rsidRPr="003E5A6E">
        <w:t>High-performing regions were identified.</w:t>
      </w:r>
    </w:p>
    <w:p w14:paraId="0BC827CF" w14:textId="77777777" w:rsidR="003E5A6E" w:rsidRPr="003E5A6E" w:rsidRDefault="003E5A6E" w:rsidP="003E5A6E">
      <w:pPr>
        <w:numPr>
          <w:ilvl w:val="1"/>
          <w:numId w:val="8"/>
        </w:numPr>
      </w:pPr>
      <w:r w:rsidRPr="003E5A6E">
        <w:t>Low-performing regions require strategic intervention.</w:t>
      </w:r>
    </w:p>
    <w:p w14:paraId="18ABF25D" w14:textId="77777777" w:rsidR="003E5A6E" w:rsidRPr="003E5A6E" w:rsidRDefault="003E5A6E" w:rsidP="003E5A6E">
      <w:pPr>
        <w:numPr>
          <w:ilvl w:val="0"/>
          <w:numId w:val="8"/>
        </w:numPr>
      </w:pPr>
      <w:r w:rsidRPr="003E5A6E">
        <w:rPr>
          <w:b/>
          <w:bCs/>
        </w:rPr>
        <w:t>Actions</w:t>
      </w:r>
      <w:r w:rsidRPr="003E5A6E">
        <w:t>:</w:t>
      </w:r>
    </w:p>
    <w:p w14:paraId="177D9C2D" w14:textId="77777777" w:rsidR="003E5A6E" w:rsidRPr="003E5A6E" w:rsidRDefault="003E5A6E" w:rsidP="003E5A6E">
      <w:pPr>
        <w:numPr>
          <w:ilvl w:val="1"/>
          <w:numId w:val="8"/>
        </w:numPr>
      </w:pPr>
      <w:r w:rsidRPr="003E5A6E">
        <w:lastRenderedPageBreak/>
        <w:t>Focus marketing and product strategies on underperforming regions.</w:t>
      </w:r>
    </w:p>
    <w:p w14:paraId="48DD1B47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2. Monthly Revenue Trends</w:t>
      </w:r>
    </w:p>
    <w:p w14:paraId="656C3DB8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What is the monthly trend of revenue, and which months have experienced the biggest increase or decrease?</w:t>
      </w:r>
    </w:p>
    <w:p w14:paraId="0488AE43" w14:textId="77777777" w:rsidR="003E5A6E" w:rsidRPr="003E5A6E" w:rsidRDefault="003E5A6E" w:rsidP="003E5A6E">
      <w:pPr>
        <w:numPr>
          <w:ilvl w:val="0"/>
          <w:numId w:val="9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0A9201D5" w14:textId="77777777" w:rsidR="003E5A6E" w:rsidRPr="003E5A6E" w:rsidRDefault="003E5A6E" w:rsidP="003E5A6E">
      <w:pPr>
        <w:numPr>
          <w:ilvl w:val="1"/>
          <w:numId w:val="9"/>
        </w:numPr>
      </w:pPr>
      <w:r w:rsidRPr="003E5A6E">
        <w:t>Clear seasonal peaks and dips identified.</w:t>
      </w:r>
    </w:p>
    <w:p w14:paraId="1E5CF26B" w14:textId="77777777" w:rsidR="003E5A6E" w:rsidRPr="003E5A6E" w:rsidRDefault="003E5A6E" w:rsidP="003E5A6E">
      <w:pPr>
        <w:numPr>
          <w:ilvl w:val="1"/>
          <w:numId w:val="9"/>
        </w:numPr>
      </w:pPr>
      <w:r w:rsidRPr="003E5A6E">
        <w:t>Major growth or decline periods were highlighted.</w:t>
      </w:r>
    </w:p>
    <w:p w14:paraId="6ECCA286" w14:textId="77777777" w:rsidR="003E5A6E" w:rsidRPr="003E5A6E" w:rsidRDefault="003E5A6E" w:rsidP="003E5A6E">
      <w:pPr>
        <w:numPr>
          <w:ilvl w:val="0"/>
          <w:numId w:val="9"/>
        </w:numPr>
      </w:pPr>
      <w:r w:rsidRPr="003E5A6E">
        <w:rPr>
          <w:b/>
          <w:bCs/>
        </w:rPr>
        <w:t>Actions</w:t>
      </w:r>
      <w:r w:rsidRPr="003E5A6E">
        <w:t>:</w:t>
      </w:r>
    </w:p>
    <w:p w14:paraId="3B83DC9A" w14:textId="77777777" w:rsidR="003E5A6E" w:rsidRPr="003E5A6E" w:rsidRDefault="003E5A6E" w:rsidP="003E5A6E">
      <w:pPr>
        <w:numPr>
          <w:ilvl w:val="1"/>
          <w:numId w:val="9"/>
        </w:numPr>
      </w:pPr>
      <w:r w:rsidRPr="003E5A6E">
        <w:t>Align marketing campaigns and stock availability with high-demand months.</w:t>
      </w:r>
    </w:p>
    <w:p w14:paraId="4CB2C567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3. Seasonality in Sales</w:t>
      </w:r>
    </w:p>
    <w:p w14:paraId="014BE8DF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Which months generate the most revenue? Is there seasonality in sales?</w:t>
      </w:r>
    </w:p>
    <w:p w14:paraId="58316E6E" w14:textId="77777777" w:rsidR="003E5A6E" w:rsidRPr="003E5A6E" w:rsidRDefault="003E5A6E" w:rsidP="003E5A6E">
      <w:pPr>
        <w:numPr>
          <w:ilvl w:val="0"/>
          <w:numId w:val="10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7B664D5F" w14:textId="77777777" w:rsidR="003E5A6E" w:rsidRPr="003E5A6E" w:rsidRDefault="003E5A6E" w:rsidP="003E5A6E">
      <w:pPr>
        <w:numPr>
          <w:ilvl w:val="1"/>
          <w:numId w:val="10"/>
        </w:numPr>
      </w:pPr>
      <w:r w:rsidRPr="003E5A6E">
        <w:t>Significant seasonality detected in sales trends.</w:t>
      </w:r>
    </w:p>
    <w:p w14:paraId="1EB331E5" w14:textId="77777777" w:rsidR="003E5A6E" w:rsidRPr="003E5A6E" w:rsidRDefault="003E5A6E" w:rsidP="003E5A6E">
      <w:pPr>
        <w:numPr>
          <w:ilvl w:val="0"/>
          <w:numId w:val="10"/>
        </w:numPr>
      </w:pPr>
      <w:r w:rsidRPr="003E5A6E">
        <w:rPr>
          <w:b/>
          <w:bCs/>
        </w:rPr>
        <w:t>Actions</w:t>
      </w:r>
      <w:r w:rsidRPr="003E5A6E">
        <w:t>:</w:t>
      </w:r>
    </w:p>
    <w:p w14:paraId="5B8DE5BF" w14:textId="77777777" w:rsidR="003E5A6E" w:rsidRPr="003E5A6E" w:rsidRDefault="003E5A6E" w:rsidP="003E5A6E">
      <w:pPr>
        <w:numPr>
          <w:ilvl w:val="1"/>
          <w:numId w:val="10"/>
        </w:numPr>
      </w:pPr>
      <w:r w:rsidRPr="003E5A6E">
        <w:t>Capitalize on peak periods through targeted promotions.</w:t>
      </w:r>
    </w:p>
    <w:p w14:paraId="6DB3BC22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4. Top Customers and Revenue Dependency</w:t>
      </w:r>
    </w:p>
    <w:p w14:paraId="234545D6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Who are the top customers, and how much do they contribute to total revenue?</w:t>
      </w:r>
    </w:p>
    <w:p w14:paraId="3394E25B" w14:textId="77777777" w:rsidR="003E5A6E" w:rsidRPr="003E5A6E" w:rsidRDefault="003E5A6E" w:rsidP="003E5A6E">
      <w:pPr>
        <w:numPr>
          <w:ilvl w:val="0"/>
          <w:numId w:val="11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71BC9F10" w14:textId="77777777" w:rsidR="003E5A6E" w:rsidRPr="003E5A6E" w:rsidRDefault="003E5A6E" w:rsidP="003E5A6E">
      <w:pPr>
        <w:numPr>
          <w:ilvl w:val="1"/>
          <w:numId w:val="11"/>
        </w:numPr>
      </w:pPr>
      <w:r w:rsidRPr="003E5A6E">
        <w:t>High-revenue customers identified.</w:t>
      </w:r>
    </w:p>
    <w:p w14:paraId="6C2F1921" w14:textId="77777777" w:rsidR="003E5A6E" w:rsidRPr="003E5A6E" w:rsidRDefault="003E5A6E" w:rsidP="003E5A6E">
      <w:pPr>
        <w:numPr>
          <w:ilvl w:val="1"/>
          <w:numId w:val="11"/>
        </w:numPr>
      </w:pPr>
      <w:r w:rsidRPr="003E5A6E">
        <w:t xml:space="preserve">Revenue dependency </w:t>
      </w:r>
      <w:proofErr w:type="spellStart"/>
      <w:r w:rsidRPr="003E5A6E">
        <w:t>analyzed</w:t>
      </w:r>
      <w:proofErr w:type="spellEnd"/>
      <w:r w:rsidRPr="003E5A6E">
        <w:t>.</w:t>
      </w:r>
    </w:p>
    <w:p w14:paraId="65E3EB9D" w14:textId="77777777" w:rsidR="003E5A6E" w:rsidRPr="003E5A6E" w:rsidRDefault="003E5A6E" w:rsidP="003E5A6E">
      <w:pPr>
        <w:numPr>
          <w:ilvl w:val="0"/>
          <w:numId w:val="11"/>
        </w:numPr>
      </w:pPr>
      <w:r w:rsidRPr="003E5A6E">
        <w:rPr>
          <w:b/>
          <w:bCs/>
        </w:rPr>
        <w:t>Actions</w:t>
      </w:r>
      <w:r w:rsidRPr="003E5A6E">
        <w:t>:</w:t>
      </w:r>
    </w:p>
    <w:p w14:paraId="73D2E423" w14:textId="77777777" w:rsidR="003E5A6E" w:rsidRPr="003E5A6E" w:rsidRDefault="003E5A6E" w:rsidP="003E5A6E">
      <w:pPr>
        <w:numPr>
          <w:ilvl w:val="1"/>
          <w:numId w:val="11"/>
        </w:numPr>
      </w:pPr>
      <w:r w:rsidRPr="003E5A6E">
        <w:t>Develop loyalty programs for top customers.</w:t>
      </w:r>
    </w:p>
    <w:p w14:paraId="7C870773" w14:textId="77777777" w:rsidR="003E5A6E" w:rsidRPr="003E5A6E" w:rsidRDefault="003E5A6E" w:rsidP="003E5A6E">
      <w:pPr>
        <w:numPr>
          <w:ilvl w:val="1"/>
          <w:numId w:val="11"/>
        </w:numPr>
      </w:pPr>
      <w:r w:rsidRPr="003E5A6E">
        <w:t>Diversify customer base.</w:t>
      </w:r>
    </w:p>
    <w:p w14:paraId="6335C6FA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CMO-Focused Insights</w:t>
      </w:r>
    </w:p>
    <w:p w14:paraId="211F5CEF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1. Customer Retention and Repeat Purchases</w:t>
      </w:r>
    </w:p>
    <w:p w14:paraId="4B3CF6D2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What percentage of customers are repeat buyers? Are they ordering the same products or different ones?</w:t>
      </w:r>
    </w:p>
    <w:p w14:paraId="7CD5A064" w14:textId="77777777" w:rsidR="003E5A6E" w:rsidRPr="003E5A6E" w:rsidRDefault="003E5A6E" w:rsidP="003E5A6E">
      <w:pPr>
        <w:numPr>
          <w:ilvl w:val="0"/>
          <w:numId w:val="12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2A770ED2" w14:textId="77777777" w:rsidR="003E5A6E" w:rsidRPr="003E5A6E" w:rsidRDefault="003E5A6E" w:rsidP="003E5A6E">
      <w:pPr>
        <w:numPr>
          <w:ilvl w:val="1"/>
          <w:numId w:val="12"/>
        </w:numPr>
      </w:pPr>
      <w:r w:rsidRPr="003E5A6E">
        <w:t>High percentage of repeat customers ordering similar products.</w:t>
      </w:r>
    </w:p>
    <w:p w14:paraId="348056BF" w14:textId="77777777" w:rsidR="003E5A6E" w:rsidRPr="003E5A6E" w:rsidRDefault="003E5A6E" w:rsidP="003E5A6E">
      <w:pPr>
        <w:numPr>
          <w:ilvl w:val="0"/>
          <w:numId w:val="12"/>
        </w:numPr>
      </w:pPr>
      <w:r w:rsidRPr="003E5A6E">
        <w:rPr>
          <w:b/>
          <w:bCs/>
        </w:rPr>
        <w:t>Actions</w:t>
      </w:r>
      <w:r w:rsidRPr="003E5A6E">
        <w:t>:</w:t>
      </w:r>
    </w:p>
    <w:p w14:paraId="3A8CA9AA" w14:textId="77777777" w:rsidR="003E5A6E" w:rsidRPr="003E5A6E" w:rsidRDefault="003E5A6E" w:rsidP="003E5A6E">
      <w:pPr>
        <w:numPr>
          <w:ilvl w:val="1"/>
          <w:numId w:val="12"/>
        </w:numPr>
      </w:pPr>
      <w:r w:rsidRPr="003E5A6E">
        <w:t>Personalize marketing campaigns for repeat buyers.</w:t>
      </w:r>
    </w:p>
    <w:p w14:paraId="4155B526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lastRenderedPageBreak/>
        <w:t>2. Time Gap Between Purchases</w:t>
      </w:r>
    </w:p>
    <w:p w14:paraId="10135D35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For repeat customers, how long does it take for them to place the next order after receiving their previous one?</w:t>
      </w:r>
    </w:p>
    <w:p w14:paraId="51EB6B08" w14:textId="77777777" w:rsidR="003E5A6E" w:rsidRPr="003E5A6E" w:rsidRDefault="003E5A6E" w:rsidP="003E5A6E">
      <w:pPr>
        <w:numPr>
          <w:ilvl w:val="0"/>
          <w:numId w:val="13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4F75F543" w14:textId="77777777" w:rsidR="003E5A6E" w:rsidRPr="003E5A6E" w:rsidRDefault="003E5A6E" w:rsidP="003E5A6E">
      <w:pPr>
        <w:numPr>
          <w:ilvl w:val="1"/>
          <w:numId w:val="13"/>
        </w:numPr>
      </w:pPr>
      <w:r w:rsidRPr="003E5A6E">
        <w:t>Average time gap calculated.</w:t>
      </w:r>
    </w:p>
    <w:p w14:paraId="7B4EDFA2" w14:textId="77777777" w:rsidR="003E5A6E" w:rsidRPr="003E5A6E" w:rsidRDefault="003E5A6E" w:rsidP="003E5A6E">
      <w:pPr>
        <w:numPr>
          <w:ilvl w:val="0"/>
          <w:numId w:val="13"/>
        </w:numPr>
      </w:pPr>
      <w:r w:rsidRPr="003E5A6E">
        <w:rPr>
          <w:b/>
          <w:bCs/>
        </w:rPr>
        <w:t>Actions</w:t>
      </w:r>
      <w:r w:rsidRPr="003E5A6E">
        <w:t>:</w:t>
      </w:r>
    </w:p>
    <w:p w14:paraId="1BE630F5" w14:textId="77777777" w:rsidR="003E5A6E" w:rsidRPr="003E5A6E" w:rsidRDefault="003E5A6E" w:rsidP="003E5A6E">
      <w:pPr>
        <w:numPr>
          <w:ilvl w:val="1"/>
          <w:numId w:val="13"/>
        </w:numPr>
      </w:pPr>
      <w:r w:rsidRPr="003E5A6E">
        <w:t>Implement re-engagement campaigns at optimal intervals.</w:t>
      </w:r>
    </w:p>
    <w:p w14:paraId="68F0D814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3. Revenue from Repeat Customers</w:t>
      </w:r>
    </w:p>
    <w:p w14:paraId="7A9E767E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What revenue is being generated from customers who have ordered more than once?</w:t>
      </w:r>
    </w:p>
    <w:p w14:paraId="2C34A9F3" w14:textId="77777777" w:rsidR="003E5A6E" w:rsidRPr="003E5A6E" w:rsidRDefault="003E5A6E" w:rsidP="003E5A6E">
      <w:pPr>
        <w:numPr>
          <w:ilvl w:val="0"/>
          <w:numId w:val="14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7B689196" w14:textId="77777777" w:rsidR="003E5A6E" w:rsidRPr="003E5A6E" w:rsidRDefault="003E5A6E" w:rsidP="003E5A6E">
      <w:pPr>
        <w:numPr>
          <w:ilvl w:val="1"/>
          <w:numId w:val="14"/>
        </w:numPr>
      </w:pPr>
      <w:r w:rsidRPr="003E5A6E">
        <w:t>Repeat customers contribute significantly to overall revenue.</w:t>
      </w:r>
    </w:p>
    <w:p w14:paraId="75A61E2D" w14:textId="77777777" w:rsidR="003E5A6E" w:rsidRPr="003E5A6E" w:rsidRDefault="003E5A6E" w:rsidP="003E5A6E">
      <w:pPr>
        <w:numPr>
          <w:ilvl w:val="0"/>
          <w:numId w:val="14"/>
        </w:numPr>
      </w:pPr>
      <w:r w:rsidRPr="003E5A6E">
        <w:rPr>
          <w:b/>
          <w:bCs/>
        </w:rPr>
        <w:t>Actions</w:t>
      </w:r>
      <w:r w:rsidRPr="003E5A6E">
        <w:t>:</w:t>
      </w:r>
    </w:p>
    <w:p w14:paraId="00E099C4" w14:textId="77777777" w:rsidR="003E5A6E" w:rsidRPr="003E5A6E" w:rsidRDefault="003E5A6E" w:rsidP="003E5A6E">
      <w:pPr>
        <w:numPr>
          <w:ilvl w:val="1"/>
          <w:numId w:val="14"/>
        </w:numPr>
      </w:pPr>
      <w:r w:rsidRPr="003E5A6E">
        <w:t>Focus on retention strategies for high-value repeat customers.</w:t>
      </w:r>
    </w:p>
    <w:p w14:paraId="43779998" w14:textId="77777777" w:rsidR="003E5A6E" w:rsidRPr="003E5A6E" w:rsidRDefault="003E5A6E" w:rsidP="003E5A6E">
      <w:pPr>
        <w:rPr>
          <w:b/>
          <w:bCs/>
        </w:rPr>
      </w:pPr>
      <w:r w:rsidRPr="003E5A6E">
        <w:rPr>
          <w:b/>
          <w:bCs/>
        </w:rPr>
        <w:t>4. High-Frequency Customers</w:t>
      </w:r>
    </w:p>
    <w:p w14:paraId="5E4C2832" w14:textId="77777777" w:rsidR="003E5A6E" w:rsidRPr="003E5A6E" w:rsidRDefault="003E5A6E" w:rsidP="003E5A6E">
      <w:r w:rsidRPr="003E5A6E">
        <w:rPr>
          <w:b/>
          <w:bCs/>
        </w:rPr>
        <w:t>Question</w:t>
      </w:r>
      <w:r w:rsidRPr="003E5A6E">
        <w:t>: Who are the customers that have repeated the most, and how much are they contributing to revenue?</w:t>
      </w:r>
    </w:p>
    <w:p w14:paraId="2AAEF283" w14:textId="77777777" w:rsidR="003E5A6E" w:rsidRPr="003E5A6E" w:rsidRDefault="003E5A6E" w:rsidP="003E5A6E">
      <w:pPr>
        <w:numPr>
          <w:ilvl w:val="0"/>
          <w:numId w:val="15"/>
        </w:numPr>
      </w:pPr>
      <w:r w:rsidRPr="003E5A6E">
        <w:rPr>
          <w:b/>
          <w:bCs/>
        </w:rPr>
        <w:t>Findings</w:t>
      </w:r>
      <w:r w:rsidRPr="003E5A6E">
        <w:t>:</w:t>
      </w:r>
    </w:p>
    <w:p w14:paraId="149A5818" w14:textId="77777777" w:rsidR="003E5A6E" w:rsidRPr="003E5A6E" w:rsidRDefault="003E5A6E" w:rsidP="003E5A6E">
      <w:pPr>
        <w:numPr>
          <w:ilvl w:val="1"/>
          <w:numId w:val="15"/>
        </w:numPr>
      </w:pPr>
      <w:r w:rsidRPr="003E5A6E">
        <w:t>High-frequency, low-revenue customers identified.</w:t>
      </w:r>
    </w:p>
    <w:p w14:paraId="003255A8" w14:textId="77777777" w:rsidR="003E5A6E" w:rsidRPr="003E5A6E" w:rsidRDefault="003E5A6E" w:rsidP="003E5A6E">
      <w:pPr>
        <w:numPr>
          <w:ilvl w:val="1"/>
          <w:numId w:val="15"/>
        </w:numPr>
      </w:pPr>
      <w:r w:rsidRPr="003E5A6E">
        <w:t>High-revenue, infrequent buyers highlighted.</w:t>
      </w:r>
    </w:p>
    <w:p w14:paraId="260CC5B4" w14:textId="77777777" w:rsidR="003E5A6E" w:rsidRPr="003E5A6E" w:rsidRDefault="003E5A6E" w:rsidP="003E5A6E">
      <w:pPr>
        <w:numPr>
          <w:ilvl w:val="0"/>
          <w:numId w:val="15"/>
        </w:numPr>
      </w:pPr>
      <w:r w:rsidRPr="003E5A6E">
        <w:rPr>
          <w:b/>
          <w:bCs/>
        </w:rPr>
        <w:t>Actions</w:t>
      </w:r>
      <w:r w:rsidRPr="003E5A6E">
        <w:t>:</w:t>
      </w:r>
    </w:p>
    <w:p w14:paraId="530962A8" w14:textId="77777777" w:rsidR="003E5A6E" w:rsidRPr="003E5A6E" w:rsidRDefault="003E5A6E" w:rsidP="003E5A6E">
      <w:pPr>
        <w:numPr>
          <w:ilvl w:val="1"/>
          <w:numId w:val="15"/>
        </w:numPr>
      </w:pPr>
      <w:r w:rsidRPr="003E5A6E">
        <w:t>Optimize stock for high-frequency customers.</w:t>
      </w:r>
    </w:p>
    <w:p w14:paraId="2A1AAE36" w14:textId="77777777" w:rsidR="003E5A6E" w:rsidRPr="003E5A6E" w:rsidRDefault="003E5A6E" w:rsidP="003E5A6E">
      <w:r w:rsidRPr="003E5A6E">
        <w:pict w14:anchorId="1DD97D26">
          <v:rect id="_x0000_i1136" style="width:0;height:1.5pt" o:hralign="center" o:hrstd="t" o:hr="t" fillcolor="#a0a0a0" stroked="f"/>
        </w:pict>
      </w:r>
    </w:p>
    <w:p w14:paraId="5C9A05AA" w14:textId="77777777" w:rsidR="003E5A6E" w:rsidRPr="003E5A6E" w:rsidRDefault="003E5A6E" w:rsidP="003E5A6E">
      <w:pPr>
        <w:rPr>
          <w:b/>
          <w:bCs/>
          <w:sz w:val="36"/>
          <w:szCs w:val="36"/>
        </w:rPr>
      </w:pPr>
      <w:r w:rsidRPr="003E5A6E">
        <w:rPr>
          <w:b/>
          <w:bCs/>
          <w:sz w:val="36"/>
          <w:szCs w:val="36"/>
        </w:rPr>
        <w:t>4. Visualizations</w:t>
      </w:r>
    </w:p>
    <w:p w14:paraId="1BD81F81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Overview</w:t>
      </w:r>
    </w:p>
    <w:p w14:paraId="4D3D5C0C" w14:textId="77777777" w:rsidR="003E5A6E" w:rsidRPr="003E5A6E" w:rsidRDefault="003E5A6E" w:rsidP="003E5A6E">
      <w:r w:rsidRPr="003E5A6E">
        <w:t>Each visual corresponds to a specific stakeholder question, providing actionable insights.</w:t>
      </w:r>
    </w:p>
    <w:p w14:paraId="46011D70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Tabs and Their Content</w:t>
      </w:r>
    </w:p>
    <w:p w14:paraId="33D32CCD" w14:textId="77777777" w:rsidR="003E5A6E" w:rsidRDefault="003E5A6E" w:rsidP="003E5A6E">
      <w:pPr>
        <w:numPr>
          <w:ilvl w:val="0"/>
          <w:numId w:val="16"/>
        </w:numPr>
      </w:pPr>
      <w:r w:rsidRPr="003E5A6E">
        <w:rPr>
          <w:b/>
          <w:bCs/>
        </w:rPr>
        <w:t>Tab 1</w:t>
      </w:r>
      <w:r w:rsidRPr="003E5A6E">
        <w:t>: Monthly Revenue Trends (CEO Focused)</w:t>
      </w:r>
    </w:p>
    <w:p w14:paraId="7754F574" w14:textId="72C4E295" w:rsidR="0028084B" w:rsidRDefault="0028084B" w:rsidP="0028084B">
      <w:pPr>
        <w:ind w:left="720"/>
      </w:pPr>
      <w:r>
        <w:rPr>
          <w:b/>
          <w:bCs/>
        </w:rPr>
        <w:t>Line chart</w:t>
      </w:r>
      <w:r w:rsidRPr="0028084B">
        <w:t>:</w:t>
      </w:r>
      <w:r>
        <w:t xml:space="preserve"> </w:t>
      </w:r>
      <w:r w:rsidRPr="0028084B">
        <w:t xml:space="preserve">The chart you provided represents the </w:t>
      </w:r>
      <w:r w:rsidRPr="0028084B">
        <w:rPr>
          <w:b/>
          <w:bCs/>
        </w:rPr>
        <w:t>Monthly Revenue Trends</w:t>
      </w:r>
      <w:r w:rsidRPr="0028084B">
        <w:t xml:space="preserve"> for </w:t>
      </w:r>
      <w:r>
        <w:t>2011</w:t>
      </w:r>
      <w:r w:rsidRPr="0028084B">
        <w:t xml:space="preserve"> year, showing fluctuations in revenue generation across months</w:t>
      </w:r>
    </w:p>
    <w:p w14:paraId="125DF13A" w14:textId="23A00546" w:rsidR="0028084B" w:rsidRDefault="0028084B" w:rsidP="0028084B">
      <w:pPr>
        <w:pStyle w:val="ListParagraph"/>
        <w:numPr>
          <w:ilvl w:val="2"/>
          <w:numId w:val="16"/>
        </w:numPr>
      </w:pPr>
      <w:r w:rsidRPr="0028084B">
        <w:t>The chart highlights the revenue performance for each month, with noticeable growth in revenue during the last quarter (October to November) and a sharp decline in December.</w:t>
      </w:r>
    </w:p>
    <w:p w14:paraId="4FAB0C36" w14:textId="3D5585A9" w:rsidR="0028084B" w:rsidRPr="0028084B" w:rsidRDefault="0028084B" w:rsidP="0028084B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The data indicates significant seasonality, with November having the highest revenue at approximately </w:t>
      </w:r>
      <w:r w:rsidRPr="00280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1.51M</w:t>
      </w:r>
      <w:r w:rsidRPr="00280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suggesting peak sales during this period. December, despite being a festive month, shows a drastic revenue dip, likely due to reduced transactions or returns.</w:t>
      </w:r>
    </w:p>
    <w:p w14:paraId="3D9A95BA" w14:textId="7498C6F9" w:rsidR="0028084B" w:rsidRPr="0028084B" w:rsidRDefault="0028084B" w:rsidP="0028084B">
      <w:pPr>
        <w:pStyle w:val="ListParagraph"/>
        <w:numPr>
          <w:ilvl w:val="2"/>
          <w:numId w:val="16"/>
        </w:numPr>
      </w:pPr>
      <w:r w:rsidRPr="00280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There’s a gradual rise in revenue from July to November, indicating sustained business performance before the peak.</w:t>
      </w:r>
    </w:p>
    <w:p w14:paraId="7331D92E" w14:textId="214C5F83" w:rsidR="0028084B" w:rsidRDefault="0028084B" w:rsidP="0028084B">
      <w:r>
        <w:rPr>
          <w:noProof/>
        </w:rPr>
        <w:drawing>
          <wp:inline distT="0" distB="0" distL="0" distR="0" wp14:anchorId="09F8DE83" wp14:editId="0F5BEDBD">
            <wp:extent cx="5410198" cy="1905000"/>
            <wp:effectExtent l="0" t="0" r="635" b="0"/>
            <wp:docPr id="95453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326" cy="19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3099" w14:textId="77777777" w:rsidR="0028084B" w:rsidRPr="003E5A6E" w:rsidRDefault="0028084B" w:rsidP="0028084B"/>
    <w:p w14:paraId="476A8984" w14:textId="77777777" w:rsidR="003E5A6E" w:rsidRDefault="003E5A6E" w:rsidP="0028084B">
      <w:pPr>
        <w:numPr>
          <w:ilvl w:val="0"/>
          <w:numId w:val="16"/>
        </w:numPr>
      </w:pPr>
      <w:r w:rsidRPr="003E5A6E">
        <w:rPr>
          <w:b/>
          <w:bCs/>
        </w:rPr>
        <w:t>Tab 2</w:t>
      </w:r>
      <w:r w:rsidRPr="003E5A6E">
        <w:t>: Top 10 Countries by Revenue (Excluding UK) (CMO Focused)</w:t>
      </w:r>
    </w:p>
    <w:p w14:paraId="2C65B036" w14:textId="12157B1F" w:rsidR="0028084B" w:rsidRDefault="0028084B" w:rsidP="0028084B">
      <w:pPr>
        <w:ind w:left="360"/>
      </w:pPr>
      <w:r>
        <w:rPr>
          <w:b/>
          <w:bCs/>
        </w:rPr>
        <w:t xml:space="preserve">Bar Chart: </w:t>
      </w:r>
      <w:r w:rsidRPr="0028084B">
        <w:t xml:space="preserve">This chart presents a comparison of the </w:t>
      </w:r>
      <w:r w:rsidRPr="0028084B">
        <w:rPr>
          <w:b/>
          <w:bCs/>
        </w:rPr>
        <w:t>Revenue</w:t>
      </w:r>
      <w:r w:rsidRPr="0028084B">
        <w:t xml:space="preserve"> (light blue bars) and </w:t>
      </w:r>
      <w:r w:rsidRPr="0028084B">
        <w:rPr>
          <w:b/>
          <w:bCs/>
        </w:rPr>
        <w:t>Quantity</w:t>
      </w:r>
      <w:r w:rsidRPr="0028084B">
        <w:t xml:space="preserve"> (dark blue bars) across different countries.</w:t>
      </w:r>
    </w:p>
    <w:p w14:paraId="580765C3" w14:textId="26130063" w:rsidR="0028084B" w:rsidRDefault="0028084B" w:rsidP="0028084B">
      <w:pPr>
        <w:pStyle w:val="ListParagraph"/>
        <w:numPr>
          <w:ilvl w:val="2"/>
          <w:numId w:val="16"/>
        </w:numPr>
      </w:pPr>
      <w:r w:rsidRPr="0028084B">
        <w:t>The Netherlands and EIRE have the highest revenue (285K and 283K, respectively) and quantities sold (201K and 147K, respectively).</w:t>
      </w:r>
    </w:p>
    <w:p w14:paraId="3C2BE6A2" w14:textId="7C2E2553" w:rsidR="0028084B" w:rsidRPr="0028084B" w:rsidRDefault="0028084B" w:rsidP="0028084B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Germany and France show strong revenue contributions (229K and 210K, respectively) but exhibit varying quantities sold (119K and 112K).</w:t>
      </w:r>
    </w:p>
    <w:p w14:paraId="079706B4" w14:textId="78C487A8" w:rsidR="0028084B" w:rsidRPr="0028084B" w:rsidRDefault="0028084B" w:rsidP="0028084B">
      <w:pPr>
        <w:pStyle w:val="ListParagraph"/>
        <w:numPr>
          <w:ilvl w:val="2"/>
          <w:numId w:val="16"/>
        </w:numPr>
      </w:pPr>
      <w:r w:rsidRPr="00280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Australia stands out with 139K revenue and 84K quantities sold, which may indicate a higher average price per unit.</w:t>
      </w:r>
    </w:p>
    <w:p w14:paraId="66D78DFA" w14:textId="41921794" w:rsidR="0028084B" w:rsidRDefault="0028084B" w:rsidP="0028084B">
      <w:pPr>
        <w:pStyle w:val="ListParagraph"/>
        <w:numPr>
          <w:ilvl w:val="2"/>
          <w:numId w:val="16"/>
        </w:numPr>
      </w:pPr>
      <w:r w:rsidRPr="0028084B">
        <w:t>Countries such as Spain, Switzerland, Belgium, Sweden, and Japan generate lower revenue and quantities sold.</w:t>
      </w:r>
    </w:p>
    <w:p w14:paraId="640B1BC5" w14:textId="03BB53D3" w:rsidR="0028084B" w:rsidRDefault="0028084B" w:rsidP="0028084B">
      <w:pPr>
        <w:pStyle w:val="ListParagraph"/>
        <w:ind w:left="360"/>
      </w:pPr>
      <w:r>
        <w:t xml:space="preserve">Insight: </w:t>
      </w:r>
    </w:p>
    <w:p w14:paraId="2404A4D3" w14:textId="49B7C8F2" w:rsidR="00202B99" w:rsidRDefault="00202B99" w:rsidP="0028084B">
      <w:pPr>
        <w:pStyle w:val="ListParagraph"/>
        <w:ind w:left="360"/>
      </w:pPr>
      <w:r>
        <w:t>C</w:t>
      </w:r>
      <w:r w:rsidRPr="00202B99">
        <w:t>ountries (e.g., Australia) have a notable difference between revenue and quantity sold, suggesting higher price points or premium product sales</w:t>
      </w:r>
    </w:p>
    <w:p w14:paraId="205D66C7" w14:textId="77777777" w:rsidR="000C7440" w:rsidRDefault="000C7440" w:rsidP="0028084B">
      <w:pPr>
        <w:pStyle w:val="ListParagraph"/>
        <w:ind w:left="360"/>
      </w:pPr>
    </w:p>
    <w:p w14:paraId="45088FAE" w14:textId="385352C1" w:rsidR="000C7440" w:rsidRPr="003E5A6E" w:rsidRDefault="000C7440" w:rsidP="0028084B">
      <w:pPr>
        <w:pStyle w:val="ListParagraph"/>
        <w:ind w:left="360"/>
      </w:pPr>
      <w:r>
        <w:rPr>
          <w:noProof/>
        </w:rPr>
        <w:drawing>
          <wp:inline distT="0" distB="0" distL="0" distR="0" wp14:anchorId="6F9A9831" wp14:editId="214BCE6D">
            <wp:extent cx="4997449" cy="2006600"/>
            <wp:effectExtent l="0" t="0" r="0" b="0"/>
            <wp:docPr id="10996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73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625" cy="20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6D02" w14:textId="77777777" w:rsidR="003E5A6E" w:rsidRDefault="003E5A6E" w:rsidP="0028084B">
      <w:pPr>
        <w:numPr>
          <w:ilvl w:val="0"/>
          <w:numId w:val="16"/>
        </w:numPr>
      </w:pPr>
      <w:r w:rsidRPr="003E5A6E">
        <w:rPr>
          <w:b/>
          <w:bCs/>
        </w:rPr>
        <w:lastRenderedPageBreak/>
        <w:t>Tab 3</w:t>
      </w:r>
      <w:r w:rsidRPr="003E5A6E">
        <w:t>: Top 10 Customers by Revenue (CMO Focused)</w:t>
      </w:r>
    </w:p>
    <w:p w14:paraId="0D2C7B55" w14:textId="07FCBA5E" w:rsidR="00202B99" w:rsidRDefault="00202B99" w:rsidP="00202B99">
      <w:pPr>
        <w:ind w:left="360"/>
      </w:pPr>
      <w:r>
        <w:rPr>
          <w:b/>
          <w:bCs/>
        </w:rPr>
        <w:t>Bar Chart:</w:t>
      </w:r>
      <w:r>
        <w:t xml:space="preserve"> </w:t>
      </w:r>
      <w:r w:rsidRPr="00202B99">
        <w:t>The chart highlights the relationship between revenue</w:t>
      </w:r>
      <w:r>
        <w:t xml:space="preserve"> </w:t>
      </w:r>
      <w:r w:rsidRPr="00202B99">
        <w:t>(blue bars) and quantity sold</w:t>
      </w:r>
      <w:r w:rsidR="007671DE" w:rsidRPr="007671DE">
        <w:t xml:space="preserve"> </w:t>
      </w:r>
      <w:r w:rsidR="007671DE" w:rsidRPr="007671DE">
        <w:t>(darker blue bars)</w:t>
      </w:r>
      <w:r w:rsidRPr="00202B99">
        <w:t xml:space="preserve"> across different countries</w:t>
      </w:r>
    </w:p>
    <w:p w14:paraId="283E2252" w14:textId="74B9144D" w:rsidR="007671DE" w:rsidRPr="007671DE" w:rsidRDefault="007671DE" w:rsidP="007671DE">
      <w:pPr>
        <w:pStyle w:val="ListParagraph"/>
        <w:numPr>
          <w:ilvl w:val="2"/>
          <w:numId w:val="16"/>
        </w:numPr>
      </w:pPr>
      <w:r w:rsidRPr="007671DE">
        <w:t>Netherlands and EIRE lead in terms of both revenue and quantity, indicating strong sales and consistent demand.</w:t>
      </w:r>
    </w:p>
    <w:p w14:paraId="6EB530CE" w14:textId="6499DE2B" w:rsidR="007671DE" w:rsidRDefault="007671DE" w:rsidP="007671DE">
      <w:pPr>
        <w:pStyle w:val="ListParagraph"/>
        <w:numPr>
          <w:ilvl w:val="2"/>
          <w:numId w:val="16"/>
        </w:numPr>
      </w:pPr>
      <w:r w:rsidRPr="007671DE">
        <w:t>Germany and France also contribute significantly to revenue, though with slightly lower quantities compared to top performers.</w:t>
      </w:r>
    </w:p>
    <w:p w14:paraId="4AED98EC" w14:textId="2E9E9573" w:rsidR="007671DE" w:rsidRDefault="007671DE" w:rsidP="007671DE">
      <w:pPr>
        <w:pStyle w:val="ListParagraph"/>
        <w:numPr>
          <w:ilvl w:val="2"/>
          <w:numId w:val="16"/>
        </w:numPr>
      </w:pPr>
      <w:r w:rsidRPr="007671DE">
        <w:t>Australia and Spain show moderate performance with reasonable revenue but a drop in quantity.</w:t>
      </w:r>
    </w:p>
    <w:p w14:paraId="4CBBC021" w14:textId="1FF8C0B4" w:rsidR="007671DE" w:rsidRDefault="007671DE" w:rsidP="007671DE">
      <w:pPr>
        <w:pStyle w:val="ListParagraph"/>
        <w:numPr>
          <w:ilvl w:val="2"/>
          <w:numId w:val="16"/>
        </w:numPr>
      </w:pPr>
      <w:r w:rsidRPr="007671DE">
        <w:t>Countries like Sweden, Belgium, and Japan generate the lowest revenue and sell fewer quantities, indicating underperformance in these regions.</w:t>
      </w:r>
    </w:p>
    <w:p w14:paraId="285509D3" w14:textId="5F7696EE" w:rsidR="007671DE" w:rsidRDefault="007671DE" w:rsidP="007671DE">
      <w:pPr>
        <w:pStyle w:val="ListParagraph"/>
        <w:numPr>
          <w:ilvl w:val="2"/>
          <w:numId w:val="16"/>
        </w:numPr>
      </w:pPr>
      <w:r w:rsidRPr="007671DE">
        <w:t xml:space="preserve">Some countries have a higher revenue-to-quantity ratio (e.g., Germany and Australia), which </w:t>
      </w:r>
      <w:r>
        <w:t xml:space="preserve">is due </w:t>
      </w:r>
      <w:r w:rsidRPr="007671DE">
        <w:t>high-value items being sold.</w:t>
      </w:r>
    </w:p>
    <w:p w14:paraId="3FEA16F8" w14:textId="799B4045" w:rsidR="007671DE" w:rsidRPr="007671DE" w:rsidRDefault="000C7440" w:rsidP="007671DE">
      <w:r>
        <w:rPr>
          <w:noProof/>
        </w:rPr>
        <w:drawing>
          <wp:inline distT="0" distB="0" distL="0" distR="0" wp14:anchorId="53FD824A" wp14:editId="6E78C5D4">
            <wp:extent cx="4851400" cy="2673484"/>
            <wp:effectExtent l="0" t="0" r="6350" b="0"/>
            <wp:docPr id="63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506" cy="26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E0AF" w14:textId="77777777" w:rsidR="003E5A6E" w:rsidRDefault="003E5A6E" w:rsidP="0028084B">
      <w:pPr>
        <w:numPr>
          <w:ilvl w:val="0"/>
          <w:numId w:val="16"/>
        </w:numPr>
      </w:pPr>
      <w:r w:rsidRPr="003E5A6E">
        <w:rPr>
          <w:b/>
          <w:bCs/>
        </w:rPr>
        <w:t>Tab 4</w:t>
      </w:r>
      <w:r w:rsidRPr="003E5A6E">
        <w:t>: Regional Demand for Products (Excluding UK) (CEO Focused)</w:t>
      </w:r>
    </w:p>
    <w:p w14:paraId="1A5A146A" w14:textId="77777777" w:rsidR="007671DE" w:rsidRPr="007671DE" w:rsidRDefault="007671DE" w:rsidP="007671DE">
      <w:pPr>
        <w:ind w:left="360"/>
      </w:pPr>
      <w:r>
        <w:rPr>
          <w:b/>
          <w:bCs/>
        </w:rPr>
        <w:t>Map</w:t>
      </w:r>
      <w:r w:rsidRPr="007671DE">
        <w:t>:</w:t>
      </w:r>
      <w:r>
        <w:t xml:space="preserve"> </w:t>
      </w:r>
      <w:r w:rsidRPr="007671DE">
        <w:t>The map showcases the geographical distribution of revenue, with bubble sizes representing revenue contribution from each region or country. Key insights:</w:t>
      </w:r>
    </w:p>
    <w:p w14:paraId="0CCDDE68" w14:textId="77777777" w:rsidR="007671DE" w:rsidRPr="007671DE" w:rsidRDefault="007671DE" w:rsidP="007671DE">
      <w:pPr>
        <w:pStyle w:val="ListParagraph"/>
        <w:numPr>
          <w:ilvl w:val="0"/>
          <w:numId w:val="24"/>
        </w:numPr>
      </w:pPr>
      <w:r w:rsidRPr="007671DE">
        <w:rPr>
          <w:b/>
          <w:bCs/>
        </w:rPr>
        <w:t>Europe</w:t>
      </w:r>
      <w:r w:rsidRPr="007671DE">
        <w:t xml:space="preserve"> (e.g., France, Belgium) exhibits a concentration of high-revenue bubbles.</w:t>
      </w:r>
    </w:p>
    <w:p w14:paraId="50DA0296" w14:textId="77777777" w:rsidR="007671DE" w:rsidRPr="007671DE" w:rsidRDefault="007671DE" w:rsidP="007671DE">
      <w:pPr>
        <w:pStyle w:val="ListParagraph"/>
        <w:numPr>
          <w:ilvl w:val="0"/>
          <w:numId w:val="24"/>
        </w:numPr>
      </w:pPr>
      <w:r w:rsidRPr="007671DE">
        <w:rPr>
          <w:b/>
          <w:bCs/>
        </w:rPr>
        <w:t>Australia</w:t>
      </w:r>
      <w:r w:rsidRPr="007671DE">
        <w:t xml:space="preserve"> is a notable contributor outside of Europe.</w:t>
      </w:r>
    </w:p>
    <w:p w14:paraId="56A22748" w14:textId="77777777" w:rsidR="007671DE" w:rsidRDefault="007671DE" w:rsidP="007671DE">
      <w:pPr>
        <w:pStyle w:val="ListParagraph"/>
        <w:numPr>
          <w:ilvl w:val="0"/>
          <w:numId w:val="24"/>
        </w:numPr>
      </w:pPr>
      <w:r w:rsidRPr="007671DE">
        <w:t xml:space="preserve">Smaller bubbles in </w:t>
      </w:r>
      <w:r w:rsidRPr="007671DE">
        <w:rPr>
          <w:b/>
          <w:bCs/>
        </w:rPr>
        <w:t>Canada, Singapore, and Japan</w:t>
      </w:r>
      <w:r w:rsidRPr="007671DE">
        <w:t xml:space="preserve"> suggest emerging markets with potential for growth.</w:t>
      </w:r>
    </w:p>
    <w:p w14:paraId="7630B1B2" w14:textId="0F369C68" w:rsidR="007671DE" w:rsidRPr="007671DE" w:rsidRDefault="007671DE" w:rsidP="007671DE">
      <w:r>
        <w:rPr>
          <w:noProof/>
        </w:rPr>
        <w:lastRenderedPageBreak/>
        <w:drawing>
          <wp:inline distT="0" distB="0" distL="0" distR="0" wp14:anchorId="3D1AF9C1" wp14:editId="1A03D394">
            <wp:extent cx="5422900" cy="2705100"/>
            <wp:effectExtent l="0" t="0" r="6350" b="0"/>
            <wp:docPr id="19624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1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577" cy="27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BB5" w14:textId="25C9D97D" w:rsidR="007671DE" w:rsidRPr="003E5A6E" w:rsidRDefault="007671DE" w:rsidP="007671DE">
      <w:pPr>
        <w:ind w:left="360"/>
      </w:pPr>
    </w:p>
    <w:p w14:paraId="334C7630" w14:textId="77777777" w:rsidR="003E5A6E" w:rsidRPr="003E5A6E" w:rsidRDefault="003E5A6E" w:rsidP="003E5A6E">
      <w:r w:rsidRPr="003E5A6E">
        <w:pict w14:anchorId="3BA2EBF4">
          <v:rect id="_x0000_i1137" style="width:0;height:1.5pt" o:hralign="center" o:hrstd="t" o:hr="t" fillcolor="#a0a0a0" stroked="f"/>
        </w:pict>
      </w:r>
    </w:p>
    <w:p w14:paraId="175ED666" w14:textId="77777777" w:rsidR="003E5A6E" w:rsidRPr="003E5A6E" w:rsidRDefault="003E5A6E" w:rsidP="003E5A6E">
      <w:pPr>
        <w:rPr>
          <w:b/>
          <w:bCs/>
          <w:sz w:val="36"/>
          <w:szCs w:val="36"/>
        </w:rPr>
      </w:pPr>
      <w:r w:rsidRPr="003E5A6E">
        <w:rPr>
          <w:b/>
          <w:bCs/>
          <w:sz w:val="36"/>
          <w:szCs w:val="36"/>
        </w:rPr>
        <w:t>5. Conclusion and Recommendations</w:t>
      </w:r>
    </w:p>
    <w:p w14:paraId="2C53BB0E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Key Insights</w:t>
      </w:r>
    </w:p>
    <w:p w14:paraId="233BE42D" w14:textId="77777777" w:rsidR="003E5A6E" w:rsidRPr="003E5A6E" w:rsidRDefault="003E5A6E" w:rsidP="003E5A6E">
      <w:pPr>
        <w:numPr>
          <w:ilvl w:val="0"/>
          <w:numId w:val="17"/>
        </w:numPr>
      </w:pPr>
      <w:r w:rsidRPr="003E5A6E">
        <w:t>Seasonal trends and high-revenue regions provide opportunities for growth.</w:t>
      </w:r>
    </w:p>
    <w:p w14:paraId="4BAD4EE4" w14:textId="77777777" w:rsidR="003E5A6E" w:rsidRPr="003E5A6E" w:rsidRDefault="003E5A6E" w:rsidP="003E5A6E">
      <w:pPr>
        <w:numPr>
          <w:ilvl w:val="0"/>
          <w:numId w:val="17"/>
        </w:numPr>
      </w:pPr>
      <w:r w:rsidRPr="003E5A6E">
        <w:t>High repeat purchase rates underscore the importance of customer retention.</w:t>
      </w:r>
    </w:p>
    <w:p w14:paraId="52B851AD" w14:textId="77777777" w:rsidR="003E5A6E" w:rsidRPr="003E5A6E" w:rsidRDefault="003E5A6E" w:rsidP="003E5A6E">
      <w:pPr>
        <w:rPr>
          <w:b/>
          <w:bCs/>
          <w:sz w:val="28"/>
          <w:szCs w:val="28"/>
        </w:rPr>
      </w:pPr>
      <w:r w:rsidRPr="003E5A6E">
        <w:rPr>
          <w:b/>
          <w:bCs/>
          <w:sz w:val="28"/>
          <w:szCs w:val="28"/>
        </w:rPr>
        <w:t>Recommendations</w:t>
      </w:r>
    </w:p>
    <w:p w14:paraId="04223351" w14:textId="77777777" w:rsidR="003E5A6E" w:rsidRPr="003E5A6E" w:rsidRDefault="003E5A6E" w:rsidP="003E5A6E">
      <w:pPr>
        <w:numPr>
          <w:ilvl w:val="0"/>
          <w:numId w:val="18"/>
        </w:numPr>
      </w:pPr>
      <w:r w:rsidRPr="003E5A6E">
        <w:t>Strengthen marketing strategies in underperforming regions.</w:t>
      </w:r>
    </w:p>
    <w:p w14:paraId="2F175942" w14:textId="77777777" w:rsidR="003E5A6E" w:rsidRPr="003E5A6E" w:rsidRDefault="003E5A6E" w:rsidP="003E5A6E">
      <w:pPr>
        <w:numPr>
          <w:ilvl w:val="0"/>
          <w:numId w:val="18"/>
        </w:numPr>
      </w:pPr>
      <w:r w:rsidRPr="003E5A6E">
        <w:t>Align inventory management with seasonal peaks.</w:t>
      </w:r>
    </w:p>
    <w:p w14:paraId="2DC8009C" w14:textId="77777777" w:rsidR="003E5A6E" w:rsidRPr="003E5A6E" w:rsidRDefault="003E5A6E" w:rsidP="003E5A6E">
      <w:pPr>
        <w:numPr>
          <w:ilvl w:val="0"/>
          <w:numId w:val="18"/>
        </w:numPr>
      </w:pPr>
      <w:r w:rsidRPr="003E5A6E">
        <w:t>Develop personalized campaigns for top customers.</w:t>
      </w:r>
    </w:p>
    <w:p w14:paraId="6CCC2D05" w14:textId="77777777" w:rsidR="003E5A6E" w:rsidRPr="003E5A6E" w:rsidRDefault="003E5A6E" w:rsidP="003E5A6E">
      <w:pPr>
        <w:numPr>
          <w:ilvl w:val="0"/>
          <w:numId w:val="18"/>
        </w:numPr>
      </w:pPr>
      <w:r w:rsidRPr="003E5A6E">
        <w:t>Leverage insights from repeat purchase patterns to enhance retention strategies.</w:t>
      </w:r>
    </w:p>
    <w:p w14:paraId="6FE81C8A" w14:textId="77777777" w:rsidR="003E5A6E" w:rsidRPr="003E5A6E" w:rsidRDefault="003E5A6E" w:rsidP="003E5A6E">
      <w:r w:rsidRPr="003E5A6E">
        <w:pict w14:anchorId="7442BE9D">
          <v:rect id="_x0000_i1138" style="width:0;height:1.5pt" o:hralign="center" o:hrstd="t" o:hr="t" fillcolor="#a0a0a0" stroked="f"/>
        </w:pict>
      </w:r>
    </w:p>
    <w:p w14:paraId="253CC015" w14:textId="2055D4D6" w:rsidR="00CE6894" w:rsidRDefault="00CE6894" w:rsidP="00CE2D80">
      <w:pPr>
        <w:rPr>
          <w:lang w:val="en-US"/>
        </w:rPr>
      </w:pPr>
    </w:p>
    <w:sectPr w:rsidR="00CE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D6A"/>
    <w:multiLevelType w:val="multilevel"/>
    <w:tmpl w:val="F81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3BB6"/>
    <w:multiLevelType w:val="multilevel"/>
    <w:tmpl w:val="CDB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58A0"/>
    <w:multiLevelType w:val="multilevel"/>
    <w:tmpl w:val="73F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0470A"/>
    <w:multiLevelType w:val="multilevel"/>
    <w:tmpl w:val="2974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4D05"/>
    <w:multiLevelType w:val="multilevel"/>
    <w:tmpl w:val="0CD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87BC0"/>
    <w:multiLevelType w:val="multilevel"/>
    <w:tmpl w:val="6D76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F3A0F"/>
    <w:multiLevelType w:val="multilevel"/>
    <w:tmpl w:val="00B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4D32"/>
    <w:multiLevelType w:val="hybridMultilevel"/>
    <w:tmpl w:val="7BD655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852C86"/>
    <w:multiLevelType w:val="multilevel"/>
    <w:tmpl w:val="BA8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233A8"/>
    <w:multiLevelType w:val="multilevel"/>
    <w:tmpl w:val="BF2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B6F66"/>
    <w:multiLevelType w:val="multilevel"/>
    <w:tmpl w:val="EA6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C1B95"/>
    <w:multiLevelType w:val="multilevel"/>
    <w:tmpl w:val="92E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B0CC7"/>
    <w:multiLevelType w:val="multilevel"/>
    <w:tmpl w:val="D90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15FC3"/>
    <w:multiLevelType w:val="multilevel"/>
    <w:tmpl w:val="73F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218A4"/>
    <w:multiLevelType w:val="multilevel"/>
    <w:tmpl w:val="73F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01026"/>
    <w:multiLevelType w:val="multilevel"/>
    <w:tmpl w:val="4950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707D0"/>
    <w:multiLevelType w:val="multilevel"/>
    <w:tmpl w:val="E6F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221B1"/>
    <w:multiLevelType w:val="multilevel"/>
    <w:tmpl w:val="6B4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35E9E"/>
    <w:multiLevelType w:val="multilevel"/>
    <w:tmpl w:val="482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B6B0A"/>
    <w:multiLevelType w:val="multilevel"/>
    <w:tmpl w:val="4C84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176D2"/>
    <w:multiLevelType w:val="multilevel"/>
    <w:tmpl w:val="34E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A75E4"/>
    <w:multiLevelType w:val="multilevel"/>
    <w:tmpl w:val="F414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87968"/>
    <w:multiLevelType w:val="multilevel"/>
    <w:tmpl w:val="B1D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5145D"/>
    <w:multiLevelType w:val="multilevel"/>
    <w:tmpl w:val="F4CE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99780">
    <w:abstractNumId w:val="16"/>
  </w:num>
  <w:num w:numId="2" w16cid:durableId="953823649">
    <w:abstractNumId w:val="5"/>
  </w:num>
  <w:num w:numId="3" w16cid:durableId="958685364">
    <w:abstractNumId w:val="0"/>
  </w:num>
  <w:num w:numId="4" w16cid:durableId="67849214">
    <w:abstractNumId w:val="21"/>
  </w:num>
  <w:num w:numId="5" w16cid:durableId="627393487">
    <w:abstractNumId w:val="20"/>
  </w:num>
  <w:num w:numId="6" w16cid:durableId="515924957">
    <w:abstractNumId w:val="12"/>
  </w:num>
  <w:num w:numId="7" w16cid:durableId="2053844919">
    <w:abstractNumId w:val="19"/>
  </w:num>
  <w:num w:numId="8" w16cid:durableId="1525362718">
    <w:abstractNumId w:val="1"/>
  </w:num>
  <w:num w:numId="9" w16cid:durableId="1222136462">
    <w:abstractNumId w:val="9"/>
  </w:num>
  <w:num w:numId="10" w16cid:durableId="1174302417">
    <w:abstractNumId w:val="17"/>
  </w:num>
  <w:num w:numId="11" w16cid:durableId="1637299182">
    <w:abstractNumId w:val="4"/>
  </w:num>
  <w:num w:numId="12" w16cid:durableId="1076901878">
    <w:abstractNumId w:val="23"/>
  </w:num>
  <w:num w:numId="13" w16cid:durableId="1702585078">
    <w:abstractNumId w:val="6"/>
  </w:num>
  <w:num w:numId="14" w16cid:durableId="1203052216">
    <w:abstractNumId w:val="8"/>
  </w:num>
  <w:num w:numId="15" w16cid:durableId="1083650514">
    <w:abstractNumId w:val="11"/>
  </w:num>
  <w:num w:numId="16" w16cid:durableId="57018397">
    <w:abstractNumId w:val="2"/>
  </w:num>
  <w:num w:numId="17" w16cid:durableId="1949194971">
    <w:abstractNumId w:val="22"/>
  </w:num>
  <w:num w:numId="18" w16cid:durableId="222524316">
    <w:abstractNumId w:val="15"/>
  </w:num>
  <w:num w:numId="19" w16cid:durableId="3094175">
    <w:abstractNumId w:val="18"/>
  </w:num>
  <w:num w:numId="20" w16cid:durableId="507402524">
    <w:abstractNumId w:val="10"/>
  </w:num>
  <w:num w:numId="21" w16cid:durableId="2002341996">
    <w:abstractNumId w:val="14"/>
  </w:num>
  <w:num w:numId="22" w16cid:durableId="2125271549">
    <w:abstractNumId w:val="13"/>
  </w:num>
  <w:num w:numId="23" w16cid:durableId="1708026223">
    <w:abstractNumId w:val="3"/>
  </w:num>
  <w:num w:numId="24" w16cid:durableId="1093360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33"/>
    <w:rsid w:val="000C7440"/>
    <w:rsid w:val="00202B99"/>
    <w:rsid w:val="0028084B"/>
    <w:rsid w:val="00304533"/>
    <w:rsid w:val="003E5A6E"/>
    <w:rsid w:val="006653EF"/>
    <w:rsid w:val="007671DE"/>
    <w:rsid w:val="00CE2D80"/>
    <w:rsid w:val="00CE6894"/>
    <w:rsid w:val="00E046BD"/>
    <w:rsid w:val="00E33733"/>
    <w:rsid w:val="00F4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7B90"/>
  <w15:chartTrackingRefBased/>
  <w15:docId w15:val="{542F1349-CAEC-41F0-9347-B3C5675F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5A6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08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Shreejith Nair</dc:creator>
  <cp:keywords/>
  <dc:description/>
  <cp:lastModifiedBy>Shreejith Nair</cp:lastModifiedBy>
  <cp:revision>3</cp:revision>
  <dcterms:created xsi:type="dcterms:W3CDTF">2024-09-22T05:53:00Z</dcterms:created>
  <dcterms:modified xsi:type="dcterms:W3CDTF">2024-12-28T05:13:00Z</dcterms:modified>
</cp:coreProperties>
</file>