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r="http://schemas.openxmlformats.org/officeDocument/2006/relationships" xmlns:w="http://schemas.openxmlformats.org/wordprocessingml/2006/main" xmlns:wp="http://schemas.openxmlformats.org/drawingml/2006/wordprocessingDrawing">
  <w:body>
    <w:p>
      <w:pPr>
        <w:pStyle w:val="Title"/>
      </w:pPr>
      <w:r>
        <w:t xml:space="preserve">Learning Document - Week 7 Learnings + Doables</w:t>
      </w:r>
    </w:p>
    <w:p>
      <w:pPr>
        <w:pStyle w:val="Subtitle"/>
      </w:pPr>
      <w:r>
        <w:t xml:space="preserve">.NET / C# - Database Access: ADO.NET, Entity Framework Code First &amp; DB First - Days 1-5 | Repo: impact-dotnet-shreeram</w:t>
      </w:r>
    </w:p>
    <w:p>
      <w:pPr>
        <w:pStyle w:val="Heading1"/>
      </w:pPr>
      <w:r>
        <w:t xml:space="preserve">Day 1 - Design &amp; ADO.NET (read path)</w:t>
      </w:r>
    </w:p>
    <w:p>
      <w:pPr>
        <w:pStyle w:val="Heading2"/>
      </w:pPr>
      <w:r>
        <w:t xml:space="preserve">Learnings</w:t>
      </w:r>
    </w:p>
    <w:p>
      <w:pPr>
        <w:pStyle w:val="ListBullet"/>
      </w:pPr>
      <w:r>
        <w:t xml:space="preserve">Task 7.1 - Users, Teachers and Students in 3NF (Database/ER-DIAGRAM.md). Login credentials (Username, PasswordHash, Role) live only on Users; profile data lives only on Students/Teachers, linked by a nullable UserId foreign key with a filtered unique index. Rules the database can guarantee on its own are declared as constraints: unique roll number/email/username, age 5-100, score 0-100, role in Teacher/Student. They hold for every client, not just this API. The connection string is read through IConfiguration (ConnectionStrings:StudentPortalSql) by SqlConnectionFactory and never hard-coded.</w:t>
      </w:r>
    </w:p>
    <w:p>
      <w:pPr>
        <w:pStyle w:val="ListBullet"/>
      </w:pPr>
      <w:r>
        <w:t xml:space="preserve">Task 7.2 - AdoNetStudentRepository.GetAll/GetById use SqlCommand + SqlDataReader and map each row to a Student by hand (DATE comes back as DateTime and has to become a DateOnly). Every connection, command and reader is in a using, so the connection goes back to the pool even when a query throws. A new connection per call is cheap because ADO.NET pools the physical connections underneath.</w:t>
      </w:r>
    </w:p>
    <w:p>
      <w:pPr>
        <w:pStyle w:val="Heading1"/>
      </w:pPr>
      <w:r>
        <w:t xml:space="preserve">Day 2 - ADO.NET (write path, injection, procs, users)</w:t>
      </w:r>
    </w:p>
    <w:p>
      <w:pPr>
        <w:pStyle w:val="Heading2"/>
      </w:pPr>
      <w:r>
        <w:t xml:space="preserve">Learnings</w:t>
      </w:r>
    </w:p>
    <w:p>
      <w:pPr>
        <w:pStyle w:val="ListBullet"/>
      </w:pPr>
      <w:r>
        <w:t xml:space="preserve">Task 7.3 - Add/Update/Delete only ever pass values as typed SqlParameters. Saving "'; DROP TABLE Students;--" as a name stored those 25 characters literally and the table survived (an xUnit test against a real SQL Server database plus a smoke-test check). Update/Delete use ExecuteNonQuery's rows-affected count to report a missing Id.</w:t>
      </w:r>
    </w:p>
    <w:p>
      <w:pPr>
        <w:pStyle w:val="ListBullet"/>
      </w:pPr>
      <w:r>
        <w:t xml:space="preserve">Task 7.4 - usp_GetStudentById and usp_InsertStudent run with CommandType.StoredProcedure; the insert returns the new IDENTITY value through an OUTPUT parameter (SCOPE_IDENTITY()). For completeness, GetAllAsDataTable shows the disconnected SqlDataAdapter/DataSet model next to the connected DataReader.</w:t>
      </w:r>
    </w:p>
    <w:p>
      <w:pPr>
        <w:pStyle w:val="ListBullet"/>
      </w:pPr>
      <w:r>
        <w:t xml:space="preserve">Task 7.5 - AdoNetUserStore : IUserStore moves Week 6's login user into dbo.Users. AuthService, AuthController and the JWT code didn't change at all, and login now verifies the PBKDF2 hash read from SQL Server. That the swap was this small shows the IUserStore seam from Week 6 was in the right place.</w:t>
      </w:r>
    </w:p>
    <w:p>
      <w:pPr>
        <w:pStyle w:val="Heading1"/>
      </w:pPr>
      <w:r>
        <w:t xml:space="preserve">Day 3 - EF Core Code First</w:t>
      </w:r>
    </w:p>
    <w:p>
      <w:pPr>
        <w:pStyle w:val="Heading2"/>
      </w:pPr>
      <w:r>
        <w:t xml:space="preserve">Learnings</w:t>
      </w:r>
    </w:p>
    <w:p>
      <w:pPr>
        <w:pStyle w:val="ListBullet"/>
      </w:pPr>
      <w:r>
        <w:t xml:space="preserve">Task 7.6 - AppDbContext has DbSet&lt;Student&gt;, DbSet&lt;Teacher&gt; and DbSet&lt;User&gt;. All configuration uses the Fluent API (max lengths, unique Email/RollNumber/Username indexes, check constraints, optional one-to-one User links with SetNull on delete) so Models/ stays free of EF attributes. Seed rows come from HasData. Because HasData needs constants, the demo users' PBKDF2 hashes are precomputed strings instead of hasher.Hash() calls, which would change every migration.</w:t>
      </w:r>
    </w:p>
    <w:p>
      <w:pPr>
        <w:pStyle w:val="ListBullet"/>
      </w:pPr>
      <w:r>
        <w:t xml:space="preserve">Task 7.7 - `dotnet ef migrations add Initial` then `database update` generated StudentPortal_Week7_EfCodeFirst entirely from C#. EfStudentRepository (a thin subclass of a generic EfRepository&lt;T&gt;) went in behind the API, and the smoke suite behaved identically.</w:t>
      </w:r>
    </w:p>
    <w:p>
      <w:pPr>
        <w:pStyle w:val="ListBullet"/>
      </w:pPr>
      <w:r>
        <w:t xml:space="preserve">Task 7.8 - Adding Student.EnrolledOn (DateOnly?, mapped to DATE) and running `migrations add AddEnrolledOn` produced a reviewable migration. It adds the column, backfills the seed rows with UpdateData, and can be reversed through Down(). The table now has the new column, and __EFMigrationsHistory lists both migrations.</w:t>
      </w:r>
    </w:p>
    <w:p>
      <w:pPr>
        <w:pStyle w:val="Heading1"/>
      </w:pPr>
      <w:r>
        <w:t xml:space="preserve">Day 4 - EF Core DB First</w:t>
      </w:r>
    </w:p>
    <w:p>
      <w:pPr>
        <w:pStyle w:val="Heading2"/>
      </w:pPr>
      <w:r>
        <w:t xml:space="preserve">Learnings</w:t>
      </w:r>
    </w:p>
    <w:p>
      <w:pPr>
        <w:pStyle w:val="ListBullet"/>
      </w:pPr>
      <w:r>
        <w:t xml:space="preserve">Task 7.9 - Treating StudentPortal_Week7 as owned by another team, `dotnet ef dbcontext scaffold ... --no-onconfiguring` generated StudentPortalDbFirstContext and Entities/Student|Teacher|User. It inferred the keys, the named unique constraints, the filtered unique indexes and the one-to-one User navigations without being told. --no-onconfiguring keeps the connection string out of generated code.</w:t>
      </w:r>
    </w:p>
    <w:p>
      <w:pPr>
        <w:pStyle w:val="ListBullet"/>
      </w:pPr>
      <w:r>
        <w:t xml:space="preserve">Task 7.10 - DbFirstStudentRepository fulfils IRepository&lt;Student&gt; by mapping scaffolded Db.Student rows to the domain Student (reads use a projection expression so EF translates it to SQL). Generated types never leak past the repository, so a column rename by the other team stops at the scaffold plus one mapping. The same smoke suite passed.</w:t>
      </w:r>
    </w:p>
    <w:p>
      <w:pPr>
        <w:pStyle w:val="Heading1"/>
      </w:pPr>
      <w:r>
        <w:t xml:space="preserve">Day 5 - Swappable + Comparison + Tests</w:t>
      </w:r>
    </w:p>
    <w:p>
      <w:pPr>
        <w:pStyle w:val="Heading2"/>
      </w:pPr>
      <w:r>
        <w:t xml:space="preserve">Learnings</w:t>
      </w:r>
    </w:p>
    <w:p>
      <w:pPr>
        <w:pStyle w:val="ListBullet"/>
      </w:pPr>
      <w:r>
        <w:t xml:space="preserve">Task 7.11 - DataLayerRegistration registers every implementation and puts a factory lambda behind IRepository&lt;Student&gt;, IRepository&lt;Teacher&gt; and IUserStore. "DataLayer:Provider" (InMemory / AdoNet / EfCodeFirst / EfDbFirst) is read when a repository is resolved, not at startup, so the tests can override it too. `dotnet run -- --DataLayer:Provider=AdoNet` and its two siblings each passed all 25 smoke checks without touching a controller.</w:t>
      </w:r>
    </w:p>
    <w:p>
      <w:pPr>
        <w:pStyle w:val="ListBullet"/>
      </w:pPr>
      <w:r>
        <w:t xml:space="preserve">Task 7.12 - DATA-COMPARISON.md argues from what I observed: ADO.NET for the stable, security-critical Users table (explicit, auditable SQL, no ORM on the login path); EF Code First for the evolving domain (EnrolledOn took one property plus one command versus five hand edits in ADO.NET); EF DB First for reporting over a schema someone else owns (one scaffold command, re-run on change).</w:t>
      </w:r>
    </w:p>
    <w:p>
      <w:pPr>
        <w:pStyle w:val="ListBullet"/>
      </w:pPr>
      <w:r>
        <w:t xml:space="preserve">Side effects of real persistence: the database's unique Email indexes meant the Services also needed a duplicate-email rule, so a duplicate is a 409 instead of a SqlException/DbUpdateException 500. DTO StringLength values now match the column lengths, so an over-long value is a 400 instead of a truncation error.</w:t>
      </w:r>
    </w:p>
    <w:p>
      <w:pPr>
        <w:pStyle w:val="Heading1"/>
      </w:pPr>
      <w:r>
        <w:t xml:space="preserve">Evidence - DATA-COMPARISON.md (summary)</w:t>
      </w:r>
    </w:p>
    <w:tbl>
      <w:tblPr>
        <w:tblW w:w="5000" w:type="pct"/>
        <w:tblBorders>
          <w:top w:val="single" w:sz="4" w:space="0" w:color="A0A0A0"/>
          <w:left w:val="single" w:sz="4" w:space="0" w:color="A0A0A0"/>
          <w:bottom w:val="single" w:sz="4" w:space="0" w:color="A0A0A0"/>
          <w:right w:val="single" w:sz="4" w:space="0" w:color="A0A0A0"/>
          <w:insideH w:val="single" w:sz="4" w:space="0" w:color="A0A0A0"/>
          <w:insideV w:val="single" w:sz="4" w:space="0" w:color="A0A0A0"/>
        </w:tblBorders>
        <w:tblCellMar>
          <w:left w:w="80" w:type="dxa"/>
          <w:right w:w="80" w:type="dxa"/>
        </w:tblCellMar>
      </w:tblPr>
      <w:tblGrid>
        <w:gridCol w:w="3120"/>
        <w:gridCol w:w="3120"/>
        <w:gridCol w:w="3120"/>
      </w:tblGrid>
      <w:tr>
        <w:tc>
          <w:tcPr>
            <w:tcW w:w="3120" w:type="dxa"/>
            <w:shd w:val="clear" w:color="auto" w:fill="E7EEF7"/>
          </w:tcPr>
          <w:p>
            <w:pPr>
              <w:spacing w:before="20" w:after="20"/>
            </w:pPr>
            <w:r>
              <w:rPr>
                <w:b/>
              </w:rPr>
              <w:t xml:space="preserve">Use case</w:t>
            </w:r>
          </w:p>
        </w:tc>
        <w:tc>
          <w:tcPr>
            <w:tcW w:w="3120" w:type="dxa"/>
            <w:shd w:val="clear" w:color="auto" w:fill="E7EEF7"/>
          </w:tcPr>
          <w:p>
            <w:pPr>
              <w:spacing w:before="20" w:after="20"/>
            </w:pPr>
            <w:r>
              <w:rPr>
                <w:b/>
              </w:rPr>
              <w:t xml:space="preserve">Approach</w:t>
            </w:r>
          </w:p>
        </w:tc>
        <w:tc>
          <w:tcPr>
            <w:tcW w:w="3120" w:type="dxa"/>
            <w:shd w:val="clear" w:color="auto" w:fill="E7EEF7"/>
          </w:tcPr>
          <w:p>
            <w:pPr>
              <w:spacing w:before="20" w:after="20"/>
            </w:pPr>
            <w:r>
              <w:rPr>
                <w:b/>
              </w:rPr>
              <w:t xml:space="preserve">Why</w:t>
            </w:r>
          </w:p>
        </w:tc>
      </w:tr>
      <w:tr>
        <w:tc>
          <w:tcPr>
            <w:tcW w:w="3120" w:type="dxa"/>
          </w:tcPr>
          <w:p>
            <w:pPr>
              <w:spacing w:before="20" w:after="20"/>
            </w:pPr>
            <w:r>
              <w:t xml:space="preserve">Stable security table (Users/login)</w:t>
            </w:r>
          </w:p>
        </w:tc>
        <w:tc>
          <w:tcPr>
            <w:tcW w:w="3120" w:type="dxa"/>
          </w:tcPr>
          <w:p>
            <w:pPr>
              <w:spacing w:before="20" w:after="20"/>
            </w:pPr>
            <w:r>
              <w:t xml:space="preserve">ADO.NET</w:t>
            </w:r>
          </w:p>
        </w:tc>
        <w:tc>
          <w:tcPr>
            <w:tcW w:w="3120" w:type="dxa"/>
          </w:tcPr>
          <w:p>
            <w:pPr>
              <w:spacing w:before="20" w:after="20"/>
            </w:pPr>
            <w:r>
              <w:t xml:space="preserve">Tiny, schema-stable, most sensitive path: one readable parameterized query per operation; stored procs allow EXECUTE-only permissions; no ORM between the password check and the DB.</w:t>
            </w:r>
          </w:p>
        </w:tc>
      </w:tr>
      <w:tr>
        <w:tc>
          <w:tcPr>
            <w:tcW w:w="3120" w:type="dxa"/>
          </w:tcPr>
          <w:p>
            <w:pPr>
              <w:spacing w:before="20" w:after="20"/>
            </w:pPr>
            <w:r>
              <w:t xml:space="preserve">Evolving domain (Students/Teachers/Courses)</w:t>
            </w:r>
          </w:p>
        </w:tc>
        <w:tc>
          <w:tcPr>
            <w:tcW w:w="3120" w:type="dxa"/>
          </w:tcPr>
          <w:p>
            <w:pPr>
              <w:spacing w:before="20" w:after="20"/>
            </w:pPr>
            <w:r>
              <w:t xml:space="preserve">EF Code First</w:t>
            </w:r>
          </w:p>
        </w:tc>
        <w:tc>
          <w:tcPr>
            <w:tcW w:w="3120" w:type="dxa"/>
          </w:tcPr>
          <w:p>
            <w:pPr>
              <w:spacing w:before="20" w:after="20"/>
            </w:pPr>
            <w:r>
              <w:t xml:space="preserve">We own it and it changes often: migrations generated from the model, reviewable and reversible; relationships/indexes declared once; same model runs on SQLite for tests.</w:t>
            </w:r>
          </w:p>
        </w:tc>
      </w:tr>
      <w:tr>
        <w:tc>
          <w:tcPr>
            <w:tcW w:w="3120" w:type="dxa"/>
          </w:tcPr>
          <w:p>
            <w:pPr>
              <w:spacing w:before="20" w:after="20"/>
            </w:pPr>
            <w:r>
              <w:t xml:space="preserve">Reporting over a DB we don't own</w:t>
            </w:r>
          </w:p>
        </w:tc>
        <w:tc>
          <w:tcPr>
            <w:tcW w:w="3120" w:type="dxa"/>
          </w:tcPr>
          <w:p>
            <w:pPr>
              <w:spacing w:before="20" w:after="20"/>
            </w:pPr>
            <w:r>
              <w:t xml:space="preserve">EF DB First</w:t>
            </w:r>
          </w:p>
        </w:tc>
        <w:tc>
          <w:tcPr>
            <w:tcW w:w="3120" w:type="dxa"/>
          </w:tcPr>
          <w:p>
            <w:pPr>
              <w:spacing w:before="20" w:after="20"/>
            </w:pPr>
            <w:r>
              <w:t xml:space="preserve">Can't write migrations against someone else's schema; scaffold reads it, re-scaffold on change; our mapping isolates their renames.</w:t>
            </w:r>
          </w:p>
        </w:tc>
      </w:tr>
    </w:tbl>
    <w:p/>
    <w:p>
      <w:r>
        <w:t xml:space="preserve">Honest caveat recorded in the file: a real product would usually standardise on one strategy. Mixing three is a teaching device. Full write-up: Week_7/DATA-COMPARISON.md.</w:t>
      </w:r>
    </w:p>
    <w:p>
      <w:pPr>
        <w:pStyle w:val="Heading1"/>
      </w:pPr>
      <w:r>
        <w:t xml:space="preserve">Evidence - ER diagram</w:t>
      </w:r>
    </w:p>
    <w:p>
      <w:pPr>
        <w:pStyle w:val="ListBullet"/>
      </w:pPr>
      <w:r>
        <w:t xml:space="preserve">Users (Id PK, Username UQ, PasswordHash, Role CHECK) 1 --- 0..1 Teachers (Id PK, Name, Email UQ, Designation, UserId FK UQ-when-set)</w:t>
      </w:r>
    </w:p>
    <w:p>
      <w:pPr>
        <w:pStyle w:val="ListBullet"/>
      </w:pPr>
      <w:r>
        <w:t xml:space="preserve">Users 1 --- 0..1 Students (Id PK, Name, Age CHECK 5-100, RollNumber UQ, Email UQ, Score CHECK 0-100, InternalNotes, EnrolledOn DATE NULL, UserId FK UQ-when-set)</w:t>
      </w:r>
    </w:p>
    <w:p>
      <w:pPr>
        <w:pStyle w:val="ListBullet"/>
      </w:pPr>
      <w:r>
        <w:t xml:space="preserve">Mermaid and plain-text versions plus the 1NF/2NF/3NF reasoning are in Week_7/Database/ER-DIAGRAM.md. [Insert rendered ER diagram / SSMS database diagram screenshot here]</w:t>
      </w:r>
    </w:p>
    <w:p>
      <w:pPr>
        <w:pStyle w:val="Heading1"/>
      </w:pPr>
      <w:r>
        <w:t xml:space="preserve">Evidence - same tests, three layers</w:t>
      </w:r>
    </w:p>
    <w:tbl>
      <w:tblPr>
        <w:tblW w:w="5000" w:type="pct"/>
        <w:tblBorders>
          <w:top w:val="single" w:sz="4" w:space="0" w:color="A0A0A0"/>
          <w:left w:val="single" w:sz="4" w:space="0" w:color="A0A0A0"/>
          <w:bottom w:val="single" w:sz="4" w:space="0" w:color="A0A0A0"/>
          <w:right w:val="single" w:sz="4" w:space="0" w:color="A0A0A0"/>
          <w:insideH w:val="single" w:sz="4" w:space="0" w:color="A0A0A0"/>
          <w:insideV w:val="single" w:sz="4" w:space="0" w:color="A0A0A0"/>
        </w:tblBorders>
        <w:tblCellMar>
          <w:left w:w="80" w:type="dxa"/>
          <w:right w:w="80" w:type="dxa"/>
        </w:tblCellMar>
      </w:tblPr>
      <w:tblGrid>
        <w:gridCol w:w="4680"/>
        <w:gridCol w:w="4680"/>
      </w:tblGrid>
      <w:tr>
        <w:tc>
          <w:tcPr>
            <w:tcW w:w="4680" w:type="dxa"/>
            <w:shd w:val="clear" w:color="auto" w:fill="E7EEF7"/>
          </w:tcPr>
          <w:p>
            <w:pPr>
              <w:spacing w:before="20" w:after="20"/>
            </w:pPr>
            <w:r>
              <w:rPr>
                <w:b/>
              </w:rPr>
              <w:t xml:space="preserve">Provider</w:t>
            </w:r>
          </w:p>
        </w:tc>
        <w:tc>
          <w:tcPr>
            <w:tcW w:w="4680" w:type="dxa"/>
            <w:shd w:val="clear" w:color="auto" w:fill="E7EEF7"/>
          </w:tcPr>
          <w:p>
            <w:pPr>
              <w:spacing w:before="20" w:after="20"/>
            </w:pPr>
            <w:r>
              <w:rPr>
                <w:b/>
              </w:rPr>
              <w:t xml:space="preserve">smoke-tests.ps1 (25 checks)</w:t>
            </w:r>
          </w:p>
        </w:tc>
      </w:tr>
      <w:tr>
        <w:tc>
          <w:tcPr>
            <w:tcW w:w="4680" w:type="dxa"/>
          </w:tcPr>
          <w:p>
            <w:pPr>
              <w:spacing w:before="20" w:after="20"/>
            </w:pPr>
            <w:r>
              <w:t xml:space="preserve">AdoNet</w:t>
            </w:r>
          </w:p>
        </w:tc>
        <w:tc>
          <w:tcPr>
            <w:tcW w:w="4680" w:type="dxa"/>
          </w:tcPr>
          <w:p>
            <w:pPr>
              <w:spacing w:before="20" w:after="20"/>
            </w:pPr>
            <w:r>
              <w:t xml:space="preserve">ALL CHECKS PASSED</w:t>
            </w:r>
          </w:p>
        </w:tc>
      </w:tr>
      <w:tr>
        <w:tc>
          <w:tcPr>
            <w:tcW w:w="4680" w:type="dxa"/>
          </w:tcPr>
          <w:p>
            <w:pPr>
              <w:spacing w:before="20" w:after="20"/>
            </w:pPr>
            <w:r>
              <w:t xml:space="preserve">EfCodeFirst</w:t>
            </w:r>
          </w:p>
        </w:tc>
        <w:tc>
          <w:tcPr>
            <w:tcW w:w="4680" w:type="dxa"/>
          </w:tcPr>
          <w:p>
            <w:pPr>
              <w:spacing w:before="20" w:after="20"/>
            </w:pPr>
            <w:r>
              <w:t xml:space="preserve">ALL CHECKS PASSED</w:t>
            </w:r>
          </w:p>
        </w:tc>
      </w:tr>
      <w:tr>
        <w:tc>
          <w:tcPr>
            <w:tcW w:w="4680" w:type="dxa"/>
          </w:tcPr>
          <w:p>
            <w:pPr>
              <w:spacing w:before="20" w:after="20"/>
            </w:pPr>
            <w:r>
              <w:t xml:space="preserve">EfDbFirst</w:t>
            </w:r>
          </w:p>
        </w:tc>
        <w:tc>
          <w:tcPr>
            <w:tcW w:w="4680" w:type="dxa"/>
          </w:tcPr>
          <w:p>
            <w:pPr>
              <w:spacing w:before="20" w:after="20"/>
            </w:pPr>
            <w:r>
              <w:t xml:space="preserve">ALL CHECKS PASSED</w:t>
            </w:r>
          </w:p>
        </w:tc>
      </w:tr>
    </w:tbl>
    <w:p/>
    <w:p>
      <w:pPr>
        <w:pStyle w:val="Heading1"/>
      </w:pPr>
      <w:r>
        <w:t xml:space="preserve">Reflection - Why does the repository interface matter so much?</w:t>
      </w:r>
    </w:p>
    <w:p>
      <w:r>
        <w:t xml:space="preserve">This week replaced the storage under the API four times (in-memory, ADO.NET, Code First, DB First), and the number of controller or service lines that changed to allow it was zero. That only worked because Week 3's Repository pattern and Week 6's IUserStore had already drawn the line in the right place: Services ask for "students" and "the user called X", never for "a SqlConnection" or "a DbContext". The swap became a configuration value.</w:t>
      </w:r>
    </w:p>
    <w:p>
      <w:r>
        <w:t xml:space="preserve">The interface didn't make the three layers equal, though. Building each one showed real trade-offs. ADO.NET made me write and check every column by hand, but I could see every byte of SQL on the login path. Code First turned a schema change into one reviewable command. DB First let me consume a schema I didn't design in one command. Choosing among them is a judgement about who owns the schema and how often it changes, which is the argument in DATA-COMPARISON.md and the plan for Week 10's three services.</w:t>
      </w:r>
    </w:p>
    <w:p>
      <w:pPr>
        <w:pStyle w:val="Heading1"/>
      </w:pPr>
      <w:r>
        <w:t xml:space="preserve">Testing - Coverage Summary</w:t>
      </w:r>
    </w:p>
    <w:p>
      <w:pPr>
        <w:pStyle w:val="ListBullet"/>
      </w:pPr>
      <w:r>
        <w:t xml:space="preserve">StudentApi.Tests has 149 tests, all passing (0 skipped on a machine with LocalDB), with 98.7% line coverage. Generated EF migrations are excluded from the figure via coverlet.runsettings; everything hand-written is measured.</w:t>
      </w:r>
    </w:p>
    <w:p>
      <w:pPr>
        <w:pStyle w:val="ListBullet"/>
      </w:pPr>
      <w:r>
        <w:t xml:space="preserve">Service layer against a MOCKED IRepository&lt;&gt; (the seam the Testing Focus asks for): StudentService 95.7%, TeacherService 93.5%, AuthService 100%, including the new duplicate-email conflicts and EnrolledOn being copied on update.</w:t>
      </w:r>
    </w:p>
    <w:p>
      <w:pPr>
        <w:pStyle w:val="ListBullet"/>
      </w:pPr>
      <w:r>
        <w:t xml:space="preserve">EF Code First integration tests on SQLite in-memory: seed read back in order, Add assigns the identity, tracked and detached updates persist (checked through a second context), unknown-id update/delete return false, the unique Email index and the Age check constraint are enforced by the database, StudentService runs over the real EF repository, and the seeded login hash verifies. EfRepository 100%, EfUserStore 100%, AppDbContext 97.9%.</w:t>
      </w:r>
    </w:p>
    <w:p>
      <w:pPr>
        <w:pStyle w:val="ListBullet"/>
      </w:pPr>
      <w:r>
        <w:t xml:space="preserve">ADO.NET against a throwaway SQL Server database built from the real Database/*.sql scripts: the injection string is stored literally and the table survives, both stored procedures run, a null EnrolledOn round-trips, the duplicate roll number is rejected by UQ_Students_RollNumber, the DataAdapter fills a DataTable, teacher CRUD works, the user store's seeded hash verifies, and a duplicate username becomes InvalidOperationException. AdoNetStudentRepository, AdoNetTeacherRepository and AdoNetUserStore are all at 100%.</w:t>
      </w:r>
    </w:p>
    <w:p>
      <w:pPr>
        <w:pStyle w:val="ListBullet"/>
      </w:pPr>
      <w:r>
        <w:t xml:space="preserve">EF DB First repositories on EF InMemory: every field mapped both ways, plus unknown ids and duplicate usernames (100%). DataLayerRegistrationTests confirm each provider value resolves the right three implementations, InMemory is one shared Singleton store, and EF gets a fresh DbContext per request.</w:t>
      </w:r>
    </w:p>
    <w:p>
      <w:pPr>
        <w:pStyle w:val="Heading1"/>
      </w:pPr>
      <w:r>
        <w:t xml:space="preserve">Submission</w:t>
      </w:r>
    </w:p>
    <w:p>
      <w:pPr>
        <w:pStyle w:val="ListBullet"/>
      </w:pPr>
      <w:r>
        <w:t xml:space="preserve">Git: Week_7/ - StudentApi (Data/AdoNet, Data/EfCodeFirst, Data/EfDbFirst), StudentApi.Tests, Database/ (scripts + ER diagram), DATA-COMPARISON.md, smoke-tests.ps1, coverlet.runsettings, ImpactDotnetShreeram.slnx; dotnet-ef pinned in the repo-root dotnet-tools.json.</w:t>
      </w:r>
    </w:p>
    <w:p>
      <w:pPr>
        <w:pStyle w:val="ListBullet"/>
      </w:pPr>
      <w:r>
        <w:t xml:space="preserve">Assignments: three data layers behind one interface, all passing the same smoke tests, switchable by one setting, with service and data-layer tests above the 80% target.</w:t>
      </w:r>
    </w:p>
    <w:sectPr>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0A6E8298"/>
    <w:lvl w:ilvl="0">
      <w:start w:val="1"/>
      <w:numFmt w:val="bullet"/>
      <w:pStyle w:val="ListBullet"/>
      <w:lvlText w:val=""/>
      <w:lvlJc w:val="left"/>
      <w:pPr>
        <w:tabs>
          <w:tab w:val="num" w:pos="360"/>
        </w:tabs>
        <w:ind w:left="360" w:hanging="360"/>
      </w:pPr>
      <w:rPr>
        <w:rFonts w:ascii="Symbol" w:hAnsi="Symbol" w:hint="default"/>
      </w:rPr>
    </w:lvl>
  </w:abstractNum>
  <w:num w:numId="1" w16cid:durableId="8424024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3CC1"/>
    <w:rsid w:val="00282962"/>
    <w:rsid w:val="002A0251"/>
    <w:rsid w:val="002C331E"/>
    <w:rsid w:val="003E29DF"/>
    <w:rsid w:val="00413CC1"/>
    <w:rsid w:val="005515C1"/>
    <w:rsid w:val="005A4FBD"/>
    <w:rsid w:val="00671B00"/>
    <w:rsid w:val="008316E9"/>
    <w:rsid w:val="00C2095C"/>
    <w:rsid w:val="00F170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A52176"/>
  <w15:chartTrackingRefBased/>
  <w15:docId w15:val="{293E6D56-7BAB-4197-91D2-D009DBCDE9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3C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13C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3C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3C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3C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3C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3C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3C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3C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3C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13C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3C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3C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3C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3C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3C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3C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3CC1"/>
    <w:rPr>
      <w:rFonts w:eastAsiaTheme="majorEastAsia" w:cstheme="majorBidi"/>
      <w:color w:val="272727" w:themeColor="text1" w:themeTint="D8"/>
    </w:rPr>
  </w:style>
  <w:style w:type="paragraph" w:styleId="Title">
    <w:name w:val="Title"/>
    <w:basedOn w:val="Normal"/>
    <w:next w:val="Normal"/>
    <w:link w:val="TitleChar"/>
    <w:uiPriority w:val="10"/>
    <w:qFormat/>
    <w:rsid w:val="00413C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3C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3C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3C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3CC1"/>
    <w:pPr>
      <w:spacing w:before="160"/>
      <w:jc w:val="center"/>
    </w:pPr>
    <w:rPr>
      <w:i/>
      <w:iCs/>
      <w:color w:val="404040" w:themeColor="text1" w:themeTint="BF"/>
    </w:rPr>
  </w:style>
  <w:style w:type="character" w:customStyle="1" w:styleId="QuoteChar">
    <w:name w:val="Quote Char"/>
    <w:basedOn w:val="DefaultParagraphFont"/>
    <w:link w:val="Quote"/>
    <w:uiPriority w:val="29"/>
    <w:rsid w:val="00413CC1"/>
    <w:rPr>
      <w:i/>
      <w:iCs/>
      <w:color w:val="404040" w:themeColor="text1" w:themeTint="BF"/>
    </w:rPr>
  </w:style>
  <w:style w:type="paragraph" w:styleId="ListParagraph">
    <w:name w:val="List Paragraph"/>
    <w:basedOn w:val="Normal"/>
    <w:uiPriority w:val="34"/>
    <w:qFormat/>
    <w:rsid w:val="00413CC1"/>
    <w:pPr>
      <w:ind w:left="720"/>
      <w:contextualSpacing/>
    </w:pPr>
  </w:style>
  <w:style w:type="character" w:styleId="IntenseEmphasis">
    <w:name w:val="Intense Emphasis"/>
    <w:basedOn w:val="DefaultParagraphFont"/>
    <w:uiPriority w:val="21"/>
    <w:qFormat/>
    <w:rsid w:val="00413CC1"/>
    <w:rPr>
      <w:i/>
      <w:iCs/>
      <w:color w:val="0F4761" w:themeColor="accent1" w:themeShade="BF"/>
    </w:rPr>
  </w:style>
  <w:style w:type="paragraph" w:styleId="IntenseQuote">
    <w:name w:val="Intense Quote"/>
    <w:basedOn w:val="Normal"/>
    <w:next w:val="Normal"/>
    <w:link w:val="IntenseQuoteChar"/>
    <w:uiPriority w:val="30"/>
    <w:qFormat/>
    <w:rsid w:val="00413C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3CC1"/>
    <w:rPr>
      <w:i/>
      <w:iCs/>
      <w:color w:val="0F4761" w:themeColor="accent1" w:themeShade="BF"/>
    </w:rPr>
  </w:style>
  <w:style w:type="character" w:styleId="IntenseReference">
    <w:name w:val="Intense Reference"/>
    <w:basedOn w:val="DefaultParagraphFont"/>
    <w:uiPriority w:val="32"/>
    <w:qFormat/>
    <w:rsid w:val="00413CC1"/>
    <w:rPr>
      <w:b/>
      <w:bCs/>
      <w:smallCaps/>
      <w:color w:val="0F4761" w:themeColor="accent1" w:themeShade="BF"/>
      <w:spacing w:val="5"/>
    </w:rPr>
  </w:style>
  <w:style w:type="paragraph" w:styleId="ListBullet">
    <w:name w:val="List Bullet"/>
    <w:basedOn w:val="Normal"/>
    <w:uiPriority w:val="99"/>
    <w:unhideWhenUsed/>
    <w:rsid w:val="00413CC1"/>
    <w:pPr>
      <w:numPr>
        <w:numId w:val="1"/>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150</TotalTime>
  <Pages>5</Pages>
  <Words>1316</Words>
  <Characters>7504</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Shreeramgopal Sambandam</dc:creator>
  <cp:keywords/>
  <dc:description/>
  <cp:lastModifiedBy>Shreeramgopal Sambandam</cp:lastModifiedBy>
  <cp:revision>1</cp:revision>
  <dcterms:created xsi:type="dcterms:W3CDTF">2026-10-04T11:30:07Z</dcterms:created>
  <dcterms:modified xsi:type="dcterms:W3CDTF">2026-10-04T11:30:07Z</dcterms:modified>
</cp:coreProperties>
</file>