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5F"/>
          <w:sz w:val="56"/>
        </w:rPr>
        <w:t>IBM HR Analytics</w:t>
      </w:r>
    </w:p>
    <w:p>
      <w:pPr>
        <w:jc w:val="center"/>
      </w:pPr>
      <w:r>
        <w:rPr>
          <w:b/>
          <w:color w:val="3B82F6"/>
          <w:sz w:val="40"/>
        </w:rPr>
        <w:t>Employee Attrition Analysis</w:t>
      </w:r>
    </w:p>
    <w:p/>
    <w:p>
      <w:pPr>
        <w:jc w:val="center"/>
      </w:pPr>
      <w:r>
        <w:rPr>
          <w:i/>
          <w:color w:val="64748B"/>
          <w:sz w:val="24"/>
        </w:rPr>
        <w:t>A comprehensive data analytics project examining workforce attrition</w:t>
        <w:br/>
        <w:t>patterns, salary trends, satisfaction scores, and HR retention strategies.</w:t>
      </w:r>
    </w:p>
    <w:p/>
    <w:p/>
    <w:p>
      <w:pPr>
        <w:jc w:val="center"/>
      </w:pPr>
      <w:r>
        <w:rPr>
          <w:color w:val="64748B"/>
          <w:sz w:val="20"/>
        </w:rPr>
        <w:t>Dataset: IBM_HR_Attrition_500.csv  |  500 Employees  |  11 Attributes</w:t>
        <w:br/>
        <w:t>Generated: September 24, 2026</w:t>
      </w:r>
    </w:p>
    <w:p>
      <w:r>
        <w:br w:type="page"/>
      </w:r>
    </w:p>
    <w:p>
      <w:pPr>
        <w:pStyle w:val="Heading1"/>
        <w:spacing w:before="280" w:after="120"/>
      </w:pPr>
      <w:r>
        <w:rPr>
          <w:b/>
          <w:color w:val="1E3A5F"/>
          <w:sz w:val="32"/>
        </w:rPr>
        <w:t>Table of Contents</w:t>
      </w:r>
    </w:p>
    <w:p>
      <w:pPr>
        <w:spacing w:after="80"/>
      </w:pPr>
      <w:r>
        <w:rPr>
          <w:color w:val="1E3A5F"/>
          <w:sz w:val="22"/>
        </w:rPr>
        <w:t xml:space="preserve">  1.  Executive Summary</w:t>
      </w:r>
    </w:p>
    <w:p>
      <w:pPr>
        <w:spacing w:after="80"/>
      </w:pPr>
      <w:r>
        <w:rPr>
          <w:color w:val="1E3A5F"/>
          <w:sz w:val="22"/>
        </w:rPr>
        <w:t xml:space="preserve">  2.  Dataset Overview</w:t>
      </w:r>
    </w:p>
    <w:p>
      <w:pPr>
        <w:spacing w:after="80"/>
      </w:pPr>
      <w:r>
        <w:rPr>
          <w:color w:val="1E3A5F"/>
          <w:sz w:val="22"/>
        </w:rPr>
        <w:t xml:space="preserve">  3.  Methodology – Data Cleaning &amp; Preparation</w:t>
      </w:r>
    </w:p>
    <w:p>
      <w:pPr>
        <w:spacing w:after="80"/>
      </w:pPr>
      <w:r>
        <w:rPr>
          <w:color w:val="1E3A5F"/>
          <w:sz w:val="22"/>
        </w:rPr>
        <w:t xml:space="preserve">  4.  Analysis 1: Overall Attrition Overview</w:t>
      </w:r>
    </w:p>
    <w:p>
      <w:pPr>
        <w:spacing w:after="80"/>
      </w:pPr>
      <w:r>
        <w:rPr>
          <w:color w:val="1E3A5F"/>
          <w:sz w:val="22"/>
        </w:rPr>
        <w:t xml:space="preserve">  5.  Analysis 2: Department-Level Patterns</w:t>
      </w:r>
    </w:p>
    <w:p>
      <w:pPr>
        <w:spacing w:after="80"/>
      </w:pPr>
      <w:r>
        <w:rPr>
          <w:color w:val="1E3A5F"/>
          <w:sz w:val="22"/>
        </w:rPr>
        <w:t xml:space="preserve">  6.  Analysis 3: Job Role Breakdown</w:t>
      </w:r>
    </w:p>
    <w:p>
      <w:pPr>
        <w:spacing w:after="80"/>
      </w:pPr>
      <w:r>
        <w:rPr>
          <w:color w:val="1E3A5F"/>
          <w:sz w:val="22"/>
        </w:rPr>
        <w:t xml:space="preserve">  7.  Analysis 4: OverTime Impact</w:t>
      </w:r>
    </w:p>
    <w:p>
      <w:pPr>
        <w:spacing w:after="80"/>
      </w:pPr>
      <w:r>
        <w:rPr>
          <w:color w:val="1E3A5F"/>
          <w:sz w:val="22"/>
        </w:rPr>
        <w:t xml:space="preserve">  8.  Analysis 5: Age Group &amp; Tenure Trends</w:t>
      </w:r>
    </w:p>
    <w:p>
      <w:pPr>
        <w:spacing w:after="80"/>
      </w:pPr>
      <w:r>
        <w:rPr>
          <w:color w:val="1E3A5F"/>
          <w:sz w:val="22"/>
        </w:rPr>
        <w:t xml:space="preserve">  9.  Analysis 6: Job Satisfaction &amp; Work-Life Balance</w:t>
      </w:r>
    </w:p>
    <w:p>
      <w:pPr>
        <w:spacing w:after="80"/>
      </w:pPr>
      <w:r>
        <w:rPr>
          <w:color w:val="1E3A5F"/>
          <w:sz w:val="22"/>
        </w:rPr>
        <w:t xml:space="preserve">  10.  Analysis 7: Salary &amp; Compensation</w:t>
      </w:r>
    </w:p>
    <w:p>
      <w:pPr>
        <w:spacing w:after="80"/>
      </w:pPr>
      <w:r>
        <w:rPr>
          <w:color w:val="1E3A5F"/>
          <w:sz w:val="22"/>
        </w:rPr>
        <w:t xml:space="preserve">  11.  Analysis 8: Commute Distance</w:t>
      </w:r>
    </w:p>
    <w:p>
      <w:pPr>
        <w:spacing w:after="80"/>
      </w:pPr>
      <w:r>
        <w:rPr>
          <w:color w:val="1E3A5F"/>
          <w:sz w:val="22"/>
        </w:rPr>
        <w:t xml:space="preserve">  12.  Business Insights &amp; HR Recommendations</w:t>
      </w:r>
    </w:p>
    <w:p>
      <w:pPr>
        <w:spacing w:after="80"/>
      </w:pPr>
      <w:r>
        <w:rPr>
          <w:color w:val="1E3A5F"/>
          <w:sz w:val="22"/>
        </w:rPr>
        <w:t xml:space="preserve">  13.  Conclusion</w:t>
      </w:r>
    </w:p>
    <w:p>
      <w:r>
        <w:br w:type="page"/>
      </w:r>
    </w:p>
    <w:p>
      <w:pPr>
        <w:pStyle w:val="Heading1"/>
        <w:spacing w:before="280" w:after="120"/>
      </w:pPr>
      <w:r>
        <w:rPr>
          <w:b/>
          <w:color w:val="1E3A5F"/>
          <w:sz w:val="32"/>
        </w:rPr>
        <w:t>1. Executive Summary</w:t>
      </w:r>
    </w:p>
    <w:p>
      <w:pPr>
        <w:spacing w:after="120"/>
      </w:pPr>
      <w:r>
        <w:rPr>
          <w:b w:val="0"/>
          <w:i w:val="0"/>
          <w:sz w:val="22"/>
        </w:rPr>
        <w:t>This report presents a thorough analysis of employee attrition at IBM, based on a curated dataset of 500 employee records. The primary objective is to identify the key drivers of voluntary employee turnover and to translate those findings into actionable HR retention strategies.</w:t>
      </w:r>
    </w:p>
    <w:p>
      <w:pPr>
        <w:spacing w:after="120"/>
      </w:pPr>
      <w:r>
        <w:rPr>
          <w:b w:val="0"/>
          <w:i w:val="0"/>
          <w:sz w:val="22"/>
        </w:rPr>
        <w:t>Key findings at a glance:</w:t>
      </w:r>
    </w:p>
    <w:p>
      <w:pPr>
        <w:pStyle w:val="ListBullet"/>
        <w:spacing w:after="60"/>
      </w:pPr>
      <w:r>
        <w:rPr>
          <w:sz w:val="21"/>
        </w:rPr>
        <w:t>Employees working OverTime have a 29.9% attrition rate vs 9.8% for those who don't — a 20.1pp gap.</w:t>
      </w:r>
    </w:p>
    <w:p>
      <w:pPr>
        <w:pStyle w:val="ListBullet"/>
        <w:spacing w:after="60"/>
      </w:pPr>
      <w:r>
        <w:rPr>
          <w:sz w:val="21"/>
        </w:rPr>
        <w:t>Employees in the lowest salary tier (&lt;$3k) leave at 23.5% — significantly higher than higher earners.</w:t>
      </w:r>
    </w:p>
    <w:p>
      <w:pPr>
        <w:pStyle w:val="ListBullet"/>
        <w:spacing w:after="60"/>
      </w:pPr>
      <w:r>
        <w:rPr>
          <w:sz w:val="21"/>
        </w:rPr>
        <w:t>Employees aged 18-25 have the highest attrition rate at 34.1%.</w:t>
      </w:r>
    </w:p>
    <w:p>
      <w:pPr>
        <w:pStyle w:val="ListBullet"/>
        <w:spacing w:after="60"/>
      </w:pPr>
      <w:r>
        <w:rPr>
          <w:sz w:val="21"/>
        </w:rPr>
        <w:t>Employees with job satisfaction score 1 (lowest) leave at 20.0%.</w:t>
      </w:r>
    </w:p>
    <w:p>
      <w:pPr>
        <w:pStyle w:val="ListBullet"/>
        <w:spacing w:after="60"/>
      </w:pPr>
      <w:r>
        <w:rPr>
          <w:sz w:val="21"/>
        </w:rPr>
        <w:t>Employees living &gt;20 km from office have 20.0% attrition rate.</w:t>
      </w:r>
    </w:p>
    <w:p>
      <w:pPr>
        <w:pStyle w:val="ListBullet"/>
        <w:spacing w:after="60"/>
      </w:pPr>
      <w:r>
        <w:rPr>
          <w:sz w:val="21"/>
        </w:rPr>
        <w:t>Employees rating WLB as 1 (bad) leave at 24.1%.</w:t>
      </w:r>
    </w:p>
    <w:p>
      <w:pPr>
        <w:pStyle w:val="ListBullet"/>
        <w:spacing w:after="60"/>
      </w:pPr>
      <w:r>
        <w:rPr>
          <w:sz w:val="21"/>
        </w:rPr>
        <w:t>Sales Representative has the highest role-level attrition at 46.7%.</w:t>
      </w:r>
    </w:p>
    <w:p/>
    <w:p>
      <w:pPr>
        <w:pStyle w:val="Heading1"/>
        <w:spacing w:before="280" w:after="120"/>
      </w:pPr>
      <w:r>
        <w:rPr>
          <w:b/>
          <w:color w:val="1E3A5F"/>
          <w:sz w:val="32"/>
        </w:rPr>
        <w:t>2. Dataset Overview</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3A5F"/>
          </w:tcPr>
          <w:p>
            <w:r>
              <w:rPr>
                <w:b/>
                <w:color w:val="FFFFFF"/>
                <w:sz w:val="20"/>
              </w:rPr>
              <w:t>Property</w:t>
            </w:r>
          </w:p>
        </w:tc>
        <w:tc>
          <w:tcPr>
            <w:tcW w:type="dxa" w:w="4703"/>
            <w:shd w:val="clear" w:color="auto" w:fill="1E3A5F"/>
          </w:tcPr>
          <w:p>
            <w:r>
              <w:rPr>
                <w:b/>
                <w:color w:val="FFFFFF"/>
                <w:sz w:val="20"/>
              </w:rPr>
              <w:t>Detail</w:t>
            </w:r>
          </w:p>
        </w:tc>
      </w:tr>
      <w:tr>
        <w:tc>
          <w:tcPr>
            <w:tcW w:type="dxa" w:w="4703"/>
            <w:shd w:val="clear" w:color="auto" w:fill="DBE4FE"/>
          </w:tcPr>
          <w:p>
            <w:r>
              <w:rPr>
                <w:b/>
                <w:sz w:val="20"/>
              </w:rPr>
              <w:t>File</w:t>
            </w:r>
          </w:p>
        </w:tc>
        <w:tc>
          <w:tcPr>
            <w:tcW w:type="dxa" w:w="4703"/>
            <w:shd w:val="clear" w:color="auto" w:fill="F8FAFC"/>
          </w:tcPr>
          <w:p>
            <w:r>
              <w:rPr>
                <w:sz w:val="20"/>
              </w:rPr>
              <w:t>IBM_HR_Attrition_500.csv</w:t>
            </w:r>
          </w:p>
        </w:tc>
      </w:tr>
      <w:tr>
        <w:tc>
          <w:tcPr>
            <w:tcW w:type="dxa" w:w="4703"/>
            <w:shd w:val="clear" w:color="auto" w:fill="F1F5F9"/>
          </w:tcPr>
          <w:p>
            <w:r>
              <w:rPr>
                <w:b/>
                <w:sz w:val="20"/>
              </w:rPr>
              <w:t>Total Records</w:t>
            </w:r>
          </w:p>
        </w:tc>
        <w:tc>
          <w:tcPr>
            <w:tcW w:type="dxa" w:w="4703"/>
            <w:shd w:val="clear" w:color="auto" w:fill="FFFFFF"/>
          </w:tcPr>
          <w:p>
            <w:r>
              <w:rPr>
                <w:sz w:val="20"/>
              </w:rPr>
              <w:t>500</w:t>
            </w:r>
          </w:p>
        </w:tc>
      </w:tr>
      <w:tr>
        <w:tc>
          <w:tcPr>
            <w:tcW w:type="dxa" w:w="4703"/>
            <w:shd w:val="clear" w:color="auto" w:fill="DBE4FE"/>
          </w:tcPr>
          <w:p>
            <w:r>
              <w:rPr>
                <w:b/>
                <w:sz w:val="20"/>
              </w:rPr>
              <w:t>Total Columns</w:t>
            </w:r>
          </w:p>
        </w:tc>
        <w:tc>
          <w:tcPr>
            <w:tcW w:type="dxa" w:w="4703"/>
            <w:shd w:val="clear" w:color="auto" w:fill="F8FAFC"/>
          </w:tcPr>
          <w:p>
            <w:r>
              <w:rPr>
                <w:sz w:val="20"/>
              </w:rPr>
              <w:t>11</w:t>
            </w:r>
          </w:p>
        </w:tc>
      </w:tr>
      <w:tr>
        <w:tc>
          <w:tcPr>
            <w:tcW w:type="dxa" w:w="4703"/>
            <w:shd w:val="clear" w:color="auto" w:fill="F1F5F9"/>
          </w:tcPr>
          <w:p>
            <w:r>
              <w:rPr>
                <w:b/>
                <w:sz w:val="20"/>
              </w:rPr>
              <w:t>Target Variable</w:t>
            </w:r>
          </w:p>
        </w:tc>
        <w:tc>
          <w:tcPr>
            <w:tcW w:type="dxa" w:w="4703"/>
            <w:shd w:val="clear" w:color="auto" w:fill="FFFFFF"/>
          </w:tcPr>
          <w:p>
            <w:r>
              <w:rPr>
                <w:sz w:val="20"/>
              </w:rPr>
              <w:t>Attrition (Yes / No)</w:t>
            </w:r>
          </w:p>
        </w:tc>
      </w:tr>
      <w:tr>
        <w:tc>
          <w:tcPr>
            <w:tcW w:type="dxa" w:w="4703"/>
            <w:shd w:val="clear" w:color="auto" w:fill="DBE4FE"/>
          </w:tcPr>
          <w:p>
            <w:r>
              <w:rPr>
                <w:b/>
                <w:sz w:val="20"/>
              </w:rPr>
              <w:t>Date Prepared</w:t>
            </w:r>
          </w:p>
        </w:tc>
        <w:tc>
          <w:tcPr>
            <w:tcW w:type="dxa" w:w="4703"/>
            <w:shd w:val="clear" w:color="auto" w:fill="F8FAFC"/>
          </w:tcPr>
          <w:p>
            <w:r>
              <w:rPr>
                <w:sz w:val="20"/>
              </w:rPr>
              <w:t>September 24, 2026</w:t>
            </w:r>
          </w:p>
        </w:tc>
      </w:tr>
    </w:tbl>
    <w:p/>
    <w:p>
      <w:pPr>
        <w:pStyle w:val="Heading2"/>
        <w:spacing w:before="280" w:after="120"/>
      </w:pPr>
      <w:r>
        <w:rPr>
          <w:b/>
          <w:color w:val="1E3A5F"/>
          <w:sz w:val="26"/>
        </w:rPr>
        <w:t>Column Descriptions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E3A5F"/>
          </w:tcPr>
          <w:p>
            <w:pPr>
              <w:jc w:val="center"/>
            </w:pPr>
            <w:r>
              <w:rPr>
                <w:b/>
                <w:color w:val="FFFFFF"/>
                <w:sz w:val="18"/>
              </w:rPr>
              <w:t>Column</w:t>
            </w:r>
          </w:p>
        </w:tc>
        <w:tc>
          <w:tcPr>
            <w:tcW w:type="dxa" w:w="1984"/>
            <w:shd w:val="clear" w:color="auto" w:fill="1E3A5F"/>
          </w:tcPr>
          <w:p>
            <w:pPr>
              <w:jc w:val="center"/>
            </w:pPr>
            <w:r>
              <w:rPr>
                <w:b/>
                <w:color w:val="FFFFFF"/>
                <w:sz w:val="18"/>
              </w:rPr>
              <w:t>Data Type</w:t>
            </w:r>
          </w:p>
        </w:tc>
        <w:tc>
          <w:tcPr>
            <w:tcW w:type="dxa" w:w="4535"/>
            <w:shd w:val="clear" w:color="auto" w:fill="1E3A5F"/>
          </w:tcPr>
          <w:p>
            <w:pPr>
              <w:jc w:val="center"/>
            </w:pPr>
            <w:r>
              <w:rPr>
                <w:b/>
                <w:color w:val="FFFFFF"/>
                <w:sz w:val="18"/>
              </w:rPr>
              <w:t>Description</w:t>
            </w:r>
          </w:p>
        </w:tc>
      </w:tr>
      <w:tr>
        <w:tc>
          <w:tcPr>
            <w:tcW w:type="dxa" w:w="2551"/>
            <w:shd w:val="clear" w:color="auto" w:fill="EFF6FF"/>
          </w:tcPr>
          <w:p>
            <w:pPr>
              <w:jc w:val="center"/>
            </w:pPr>
            <w:r>
              <w:rPr>
                <w:sz w:val="18"/>
              </w:rPr>
              <w:t>Age</w:t>
            </w:r>
          </w:p>
        </w:tc>
        <w:tc>
          <w:tcPr>
            <w:tcW w:type="dxa" w:w="1984"/>
            <w:shd w:val="clear" w:color="auto" w:fill="EFF6FF"/>
          </w:tcPr>
          <w:p>
            <w:pPr>
              <w:jc w:val="center"/>
            </w:pPr>
            <w:r>
              <w:rPr>
                <w:sz w:val="18"/>
              </w:rPr>
              <w:t>Integer</w:t>
            </w:r>
          </w:p>
        </w:tc>
        <w:tc>
          <w:tcPr>
            <w:tcW w:type="dxa" w:w="4535"/>
            <w:shd w:val="clear" w:color="auto" w:fill="EFF6FF"/>
          </w:tcPr>
          <w:p>
            <w:pPr>
              <w:jc w:val="center"/>
            </w:pPr>
            <w:r>
              <w:rPr>
                <w:sz w:val="18"/>
              </w:rPr>
              <w:t>Employee age in years</w:t>
            </w:r>
          </w:p>
        </w:tc>
      </w:tr>
      <w:tr>
        <w:tc>
          <w:tcPr>
            <w:tcW w:type="dxa" w:w="2551"/>
            <w:shd w:val="clear" w:color="auto" w:fill="FFFFFF"/>
          </w:tcPr>
          <w:p>
            <w:pPr>
              <w:jc w:val="center"/>
            </w:pPr>
            <w:r>
              <w:rPr>
                <w:sz w:val="18"/>
              </w:rPr>
              <w:t>Attrition</w:t>
            </w:r>
          </w:p>
        </w:tc>
        <w:tc>
          <w:tcPr>
            <w:tcW w:type="dxa" w:w="1984"/>
            <w:shd w:val="clear" w:color="auto" w:fill="FFFFFF"/>
          </w:tcPr>
          <w:p>
            <w:pPr>
              <w:jc w:val="center"/>
            </w:pPr>
            <w:r>
              <w:rPr>
                <w:sz w:val="18"/>
              </w:rPr>
              <w:t>Categorical</w:t>
            </w:r>
          </w:p>
        </w:tc>
        <w:tc>
          <w:tcPr>
            <w:tcW w:type="dxa" w:w="4535"/>
            <w:shd w:val="clear" w:color="auto" w:fill="FFFFFF"/>
          </w:tcPr>
          <w:p>
            <w:pPr>
              <w:jc w:val="center"/>
            </w:pPr>
            <w:r>
              <w:rPr>
                <w:sz w:val="18"/>
              </w:rPr>
              <w:t>Whether employee left (Yes/No)</w:t>
            </w:r>
          </w:p>
        </w:tc>
      </w:tr>
      <w:tr>
        <w:tc>
          <w:tcPr>
            <w:tcW w:type="dxa" w:w="2551"/>
            <w:shd w:val="clear" w:color="auto" w:fill="EFF6FF"/>
          </w:tcPr>
          <w:p>
            <w:pPr>
              <w:jc w:val="center"/>
            </w:pPr>
            <w:r>
              <w:rPr>
                <w:sz w:val="18"/>
              </w:rPr>
              <w:t>Department</w:t>
            </w:r>
          </w:p>
        </w:tc>
        <w:tc>
          <w:tcPr>
            <w:tcW w:type="dxa" w:w="1984"/>
            <w:shd w:val="clear" w:color="auto" w:fill="EFF6FF"/>
          </w:tcPr>
          <w:p>
            <w:pPr>
              <w:jc w:val="center"/>
            </w:pPr>
            <w:r>
              <w:rPr>
                <w:sz w:val="18"/>
              </w:rPr>
              <w:t>Categorical</w:t>
            </w:r>
          </w:p>
        </w:tc>
        <w:tc>
          <w:tcPr>
            <w:tcW w:type="dxa" w:w="4535"/>
            <w:shd w:val="clear" w:color="auto" w:fill="EFF6FF"/>
          </w:tcPr>
          <w:p>
            <w:pPr>
              <w:jc w:val="center"/>
            </w:pPr>
            <w:r>
              <w:rPr>
                <w:sz w:val="18"/>
              </w:rPr>
              <w:t>Department name</w:t>
            </w:r>
          </w:p>
        </w:tc>
      </w:tr>
      <w:tr>
        <w:tc>
          <w:tcPr>
            <w:tcW w:type="dxa" w:w="2551"/>
            <w:shd w:val="clear" w:color="auto" w:fill="FFFFFF"/>
          </w:tcPr>
          <w:p>
            <w:pPr>
              <w:jc w:val="center"/>
            </w:pPr>
            <w:r>
              <w:rPr>
                <w:sz w:val="18"/>
              </w:rPr>
              <w:t>DistanceFromHome</w:t>
            </w:r>
          </w:p>
        </w:tc>
        <w:tc>
          <w:tcPr>
            <w:tcW w:type="dxa" w:w="1984"/>
            <w:shd w:val="clear" w:color="auto" w:fill="FFFFFF"/>
          </w:tcPr>
          <w:p>
            <w:pPr>
              <w:jc w:val="center"/>
            </w:pPr>
            <w:r>
              <w:rPr>
                <w:sz w:val="18"/>
              </w:rPr>
              <w:t>Integer</w:t>
            </w:r>
          </w:p>
        </w:tc>
        <w:tc>
          <w:tcPr>
            <w:tcW w:type="dxa" w:w="4535"/>
            <w:shd w:val="clear" w:color="auto" w:fill="FFFFFF"/>
          </w:tcPr>
          <w:p>
            <w:pPr>
              <w:jc w:val="center"/>
            </w:pPr>
            <w:r>
              <w:rPr>
                <w:sz w:val="18"/>
              </w:rPr>
              <w:t>Commute distance in km</w:t>
            </w:r>
          </w:p>
        </w:tc>
      </w:tr>
      <w:tr>
        <w:tc>
          <w:tcPr>
            <w:tcW w:type="dxa" w:w="2551"/>
            <w:shd w:val="clear" w:color="auto" w:fill="EFF6FF"/>
          </w:tcPr>
          <w:p>
            <w:pPr>
              <w:jc w:val="center"/>
            </w:pPr>
            <w:r>
              <w:rPr>
                <w:sz w:val="18"/>
              </w:rPr>
              <w:t>JobRole</w:t>
            </w:r>
          </w:p>
        </w:tc>
        <w:tc>
          <w:tcPr>
            <w:tcW w:type="dxa" w:w="1984"/>
            <w:shd w:val="clear" w:color="auto" w:fill="EFF6FF"/>
          </w:tcPr>
          <w:p>
            <w:pPr>
              <w:jc w:val="center"/>
            </w:pPr>
            <w:r>
              <w:rPr>
                <w:sz w:val="18"/>
              </w:rPr>
              <w:t>Categorical</w:t>
            </w:r>
          </w:p>
        </w:tc>
        <w:tc>
          <w:tcPr>
            <w:tcW w:type="dxa" w:w="4535"/>
            <w:shd w:val="clear" w:color="auto" w:fill="EFF6FF"/>
          </w:tcPr>
          <w:p>
            <w:pPr>
              <w:jc w:val="center"/>
            </w:pPr>
            <w:r>
              <w:rPr>
                <w:sz w:val="18"/>
              </w:rPr>
              <w:t>Job title/role</w:t>
            </w:r>
          </w:p>
        </w:tc>
      </w:tr>
      <w:tr>
        <w:tc>
          <w:tcPr>
            <w:tcW w:type="dxa" w:w="2551"/>
            <w:shd w:val="clear" w:color="auto" w:fill="FFFFFF"/>
          </w:tcPr>
          <w:p>
            <w:pPr>
              <w:jc w:val="center"/>
            </w:pPr>
            <w:r>
              <w:rPr>
                <w:sz w:val="18"/>
              </w:rPr>
              <w:t>JobSatisfaction</w:t>
            </w:r>
          </w:p>
        </w:tc>
        <w:tc>
          <w:tcPr>
            <w:tcW w:type="dxa" w:w="1984"/>
            <w:shd w:val="clear" w:color="auto" w:fill="FFFFFF"/>
          </w:tcPr>
          <w:p>
            <w:pPr>
              <w:jc w:val="center"/>
            </w:pPr>
            <w:r>
              <w:rPr>
                <w:sz w:val="18"/>
              </w:rPr>
              <w:t>Integer (1–4)</w:t>
            </w:r>
          </w:p>
        </w:tc>
        <w:tc>
          <w:tcPr>
            <w:tcW w:type="dxa" w:w="4535"/>
            <w:shd w:val="clear" w:color="auto" w:fill="FFFFFF"/>
          </w:tcPr>
          <w:p>
            <w:pPr>
              <w:jc w:val="center"/>
            </w:pPr>
            <w:r>
              <w:rPr>
                <w:sz w:val="18"/>
              </w:rPr>
              <w:t>Self-reported job satisfaction score</w:t>
            </w:r>
          </w:p>
        </w:tc>
      </w:tr>
      <w:tr>
        <w:tc>
          <w:tcPr>
            <w:tcW w:type="dxa" w:w="2551"/>
            <w:shd w:val="clear" w:color="auto" w:fill="EFF6FF"/>
          </w:tcPr>
          <w:p>
            <w:pPr>
              <w:jc w:val="center"/>
            </w:pPr>
            <w:r>
              <w:rPr>
                <w:sz w:val="18"/>
              </w:rPr>
              <w:t>MonthlyIncome</w:t>
            </w:r>
          </w:p>
        </w:tc>
        <w:tc>
          <w:tcPr>
            <w:tcW w:type="dxa" w:w="1984"/>
            <w:shd w:val="clear" w:color="auto" w:fill="EFF6FF"/>
          </w:tcPr>
          <w:p>
            <w:pPr>
              <w:jc w:val="center"/>
            </w:pPr>
            <w:r>
              <w:rPr>
                <w:sz w:val="18"/>
              </w:rPr>
              <w:t>Integer</w:t>
            </w:r>
          </w:p>
        </w:tc>
        <w:tc>
          <w:tcPr>
            <w:tcW w:type="dxa" w:w="4535"/>
            <w:shd w:val="clear" w:color="auto" w:fill="EFF6FF"/>
          </w:tcPr>
          <w:p>
            <w:pPr>
              <w:jc w:val="center"/>
            </w:pPr>
            <w:r>
              <w:rPr>
                <w:sz w:val="18"/>
              </w:rPr>
              <w:t>Monthly salary in USD</w:t>
            </w:r>
          </w:p>
        </w:tc>
      </w:tr>
      <w:tr>
        <w:tc>
          <w:tcPr>
            <w:tcW w:type="dxa" w:w="2551"/>
            <w:shd w:val="clear" w:color="auto" w:fill="FFFFFF"/>
          </w:tcPr>
          <w:p>
            <w:pPr>
              <w:jc w:val="center"/>
            </w:pPr>
            <w:r>
              <w:rPr>
                <w:sz w:val="18"/>
              </w:rPr>
              <w:t>OverTime</w:t>
            </w:r>
          </w:p>
        </w:tc>
        <w:tc>
          <w:tcPr>
            <w:tcW w:type="dxa" w:w="1984"/>
            <w:shd w:val="clear" w:color="auto" w:fill="FFFFFF"/>
          </w:tcPr>
          <w:p>
            <w:pPr>
              <w:jc w:val="center"/>
            </w:pPr>
            <w:r>
              <w:rPr>
                <w:sz w:val="18"/>
              </w:rPr>
              <w:t>Categorical</w:t>
            </w:r>
          </w:p>
        </w:tc>
        <w:tc>
          <w:tcPr>
            <w:tcW w:type="dxa" w:w="4535"/>
            <w:shd w:val="clear" w:color="auto" w:fill="FFFFFF"/>
          </w:tcPr>
          <w:p>
            <w:pPr>
              <w:jc w:val="center"/>
            </w:pPr>
            <w:r>
              <w:rPr>
                <w:sz w:val="18"/>
              </w:rPr>
              <w:t>Whether employee works overtime (Yes/No)</w:t>
            </w:r>
          </w:p>
        </w:tc>
      </w:tr>
      <w:tr>
        <w:tc>
          <w:tcPr>
            <w:tcW w:type="dxa" w:w="2551"/>
            <w:shd w:val="clear" w:color="auto" w:fill="EFF6FF"/>
          </w:tcPr>
          <w:p>
            <w:pPr>
              <w:jc w:val="center"/>
            </w:pPr>
            <w:r>
              <w:rPr>
                <w:sz w:val="18"/>
              </w:rPr>
              <w:t>TotalWorkingYears</w:t>
            </w:r>
          </w:p>
        </w:tc>
        <w:tc>
          <w:tcPr>
            <w:tcW w:type="dxa" w:w="1984"/>
            <w:shd w:val="clear" w:color="auto" w:fill="EFF6FF"/>
          </w:tcPr>
          <w:p>
            <w:pPr>
              <w:jc w:val="center"/>
            </w:pPr>
            <w:r>
              <w:rPr>
                <w:sz w:val="18"/>
              </w:rPr>
              <w:t>Integer</w:t>
            </w:r>
          </w:p>
        </w:tc>
        <w:tc>
          <w:tcPr>
            <w:tcW w:type="dxa" w:w="4535"/>
            <w:shd w:val="clear" w:color="auto" w:fill="EFF6FF"/>
          </w:tcPr>
          <w:p>
            <w:pPr>
              <w:jc w:val="center"/>
            </w:pPr>
            <w:r>
              <w:rPr>
                <w:sz w:val="18"/>
              </w:rPr>
              <w:t>Total years of work experience</w:t>
            </w:r>
          </w:p>
        </w:tc>
      </w:tr>
      <w:tr>
        <w:tc>
          <w:tcPr>
            <w:tcW w:type="dxa" w:w="2551"/>
            <w:shd w:val="clear" w:color="auto" w:fill="FFFFFF"/>
          </w:tcPr>
          <w:p>
            <w:pPr>
              <w:jc w:val="center"/>
            </w:pPr>
            <w:r>
              <w:rPr>
                <w:sz w:val="18"/>
              </w:rPr>
              <w:t>WorkLifeBalance</w:t>
            </w:r>
          </w:p>
        </w:tc>
        <w:tc>
          <w:tcPr>
            <w:tcW w:type="dxa" w:w="1984"/>
            <w:shd w:val="clear" w:color="auto" w:fill="FFFFFF"/>
          </w:tcPr>
          <w:p>
            <w:pPr>
              <w:jc w:val="center"/>
            </w:pPr>
            <w:r>
              <w:rPr>
                <w:sz w:val="18"/>
              </w:rPr>
              <w:t>Integer (1–4)</w:t>
            </w:r>
          </w:p>
        </w:tc>
        <w:tc>
          <w:tcPr>
            <w:tcW w:type="dxa" w:w="4535"/>
            <w:shd w:val="clear" w:color="auto" w:fill="FFFFFF"/>
          </w:tcPr>
          <w:p>
            <w:pPr>
              <w:jc w:val="center"/>
            </w:pPr>
            <w:r>
              <w:rPr>
                <w:sz w:val="18"/>
              </w:rPr>
              <w:t>Self-reported work-life balance score</w:t>
            </w:r>
          </w:p>
        </w:tc>
      </w:tr>
      <w:tr>
        <w:tc>
          <w:tcPr>
            <w:tcW w:type="dxa" w:w="2551"/>
            <w:shd w:val="clear" w:color="auto" w:fill="EFF6FF"/>
          </w:tcPr>
          <w:p>
            <w:pPr>
              <w:jc w:val="center"/>
            </w:pPr>
            <w:r>
              <w:rPr>
                <w:sz w:val="18"/>
              </w:rPr>
              <w:t>YearsAtCompany</w:t>
            </w:r>
          </w:p>
        </w:tc>
        <w:tc>
          <w:tcPr>
            <w:tcW w:type="dxa" w:w="1984"/>
            <w:shd w:val="clear" w:color="auto" w:fill="EFF6FF"/>
          </w:tcPr>
          <w:p>
            <w:pPr>
              <w:jc w:val="center"/>
            </w:pPr>
            <w:r>
              <w:rPr>
                <w:sz w:val="18"/>
              </w:rPr>
              <w:t>Integer</w:t>
            </w:r>
          </w:p>
        </w:tc>
        <w:tc>
          <w:tcPr>
            <w:tcW w:type="dxa" w:w="4535"/>
            <w:shd w:val="clear" w:color="auto" w:fill="EFF6FF"/>
          </w:tcPr>
          <w:p>
            <w:pPr>
              <w:jc w:val="center"/>
            </w:pPr>
            <w:r>
              <w:rPr>
                <w:sz w:val="18"/>
              </w:rPr>
              <w:t>Years at current company</w:t>
            </w:r>
          </w:p>
        </w:tc>
      </w:tr>
    </w:tbl>
    <w:p/>
    <w:p>
      <w:pPr>
        <w:pStyle w:val="Heading1"/>
        <w:spacing w:before="280" w:after="120"/>
      </w:pPr>
      <w:r>
        <w:rPr>
          <w:b/>
          <w:color w:val="1E3A5F"/>
          <w:sz w:val="32"/>
        </w:rPr>
        <w:t>3. Methodology – Data Cleaning &amp; Preparation</w:t>
      </w:r>
    </w:p>
    <w:p>
      <w:pPr>
        <w:spacing w:after="120"/>
      </w:pPr>
      <w:r>
        <w:rPr>
          <w:b w:val="0"/>
          <w:i w:val="0"/>
          <w:sz w:val="22"/>
        </w:rPr>
        <w:t>The following steps were applied to ensure data quality before analysis:</w:t>
      </w:r>
    </w:p>
    <w:p>
      <w:pPr>
        <w:pStyle w:val="ListBullet"/>
        <w:spacing w:after="60"/>
      </w:pPr>
      <w:r>
        <w:rPr>
          <w:sz w:val="21"/>
        </w:rPr>
        <w:t>Loaded raw CSV using pandas read_csv().</w:t>
      </w:r>
    </w:p>
    <w:p>
      <w:pPr>
        <w:pStyle w:val="ListBullet"/>
        <w:spacing w:after="60"/>
      </w:pPr>
      <w:r>
        <w:rPr>
          <w:sz w:val="21"/>
        </w:rPr>
        <w:t>Normalised column names: spaces and inconsistent casing resolved (e.g., 'Job Role' → 'JobRole').</w:t>
      </w:r>
    </w:p>
    <w:p>
      <w:pPr>
        <w:pStyle w:val="ListBullet"/>
        <w:spacing w:after="60"/>
      </w:pPr>
      <w:r>
        <w:rPr>
          <w:sz w:val="21"/>
        </w:rPr>
        <w:t>Removed duplicate rows — 0 duplicates found and removed.</w:t>
      </w:r>
    </w:p>
    <w:p>
      <w:pPr>
        <w:pStyle w:val="ListBullet"/>
        <w:spacing w:after="60"/>
      </w:pPr>
      <w:r>
        <w:rPr>
          <w:sz w:val="21"/>
        </w:rPr>
        <w:t>Missing numeric values filled with column median (robust to outliers).</w:t>
      </w:r>
    </w:p>
    <w:p>
      <w:pPr>
        <w:pStyle w:val="ListBullet"/>
        <w:spacing w:after="60"/>
      </w:pPr>
      <w:r>
        <w:rPr>
          <w:sz w:val="21"/>
        </w:rPr>
        <w:t>Missing categorical values filled with column mode.</w:t>
      </w:r>
    </w:p>
    <w:p>
      <w:pPr>
        <w:pStyle w:val="ListBullet"/>
        <w:spacing w:after="60"/>
      </w:pPr>
      <w:r>
        <w:rPr>
          <w:sz w:val="21"/>
        </w:rPr>
        <w:t>Enforced correct data types: numeric columns cast to integer.</w:t>
      </w:r>
    </w:p>
    <w:p>
      <w:pPr>
        <w:pStyle w:val="ListBullet"/>
        <w:spacing w:after="60"/>
      </w:pPr>
      <w:r>
        <w:rPr>
          <w:sz w:val="21"/>
        </w:rPr>
        <w:t>Derived column 'AttritionBinary' (1=Yes, 0=No) for numeric aggregation.</w:t>
      </w:r>
    </w:p>
    <w:p>
      <w:pPr>
        <w:pStyle w:val="ListBullet"/>
        <w:spacing w:after="60"/>
      </w:pPr>
      <w:r>
        <w:rPr>
          <w:sz w:val="21"/>
        </w:rPr>
        <w:t>Derived column 'AgeBucket' (5 age bands: 18-25, 26-35, 36-45, 46-55, 55+).</w:t>
      </w:r>
    </w:p>
    <w:p>
      <w:pPr>
        <w:pStyle w:val="ListBullet"/>
        <w:spacing w:after="60"/>
      </w:pPr>
      <w:r>
        <w:rPr>
          <w:sz w:val="21"/>
        </w:rPr>
        <w:t>Derived column 'SalaryTier' (4 income bands: Low, Mid, High, Senior).</w:t>
      </w:r>
    </w:p>
    <w:p>
      <w:pPr>
        <w:spacing w:after="120"/>
      </w:pPr>
      <w:r>
        <w:rPr>
          <w:b/>
          <w:i w:val="0"/>
          <w:sz w:val="22"/>
        </w:rPr>
        <w:br/>
        <w:t>Final cleaned dataset: 500 rows × 11 original columns + 3 derived columns.</w:t>
      </w:r>
    </w:p>
    <w:p>
      <w:r>
        <w:br w:type="page"/>
      </w:r>
    </w:p>
    <w:p>
      <w:pPr>
        <w:pStyle w:val="Heading1"/>
        <w:spacing w:before="280" w:after="120"/>
      </w:pPr>
      <w:r>
        <w:rPr>
          <w:b/>
          <w:color w:val="1E3A5F"/>
          <w:sz w:val="32"/>
        </w:rPr>
        <w:t>4. Analysis 1 – Overall Attrition Overview</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3A5F"/>
          </w:tcPr>
          <w:p>
            <w:r>
              <w:rPr>
                <w:b/>
                <w:color w:val="FFFFFF"/>
                <w:sz w:val="20"/>
              </w:rPr>
              <w:t>Metric</w:t>
            </w:r>
          </w:p>
        </w:tc>
        <w:tc>
          <w:tcPr>
            <w:tcW w:type="dxa" w:w="4703"/>
            <w:shd w:val="clear" w:color="auto" w:fill="1E3A5F"/>
          </w:tcPr>
          <w:p>
            <w:r>
              <w:rPr>
                <w:b/>
                <w:color w:val="FFFFFF"/>
                <w:sz w:val="20"/>
              </w:rPr>
              <w:t>Value</w:t>
            </w:r>
          </w:p>
        </w:tc>
      </w:tr>
      <w:tr>
        <w:tc>
          <w:tcPr>
            <w:tcW w:type="dxa" w:w="4703"/>
            <w:shd w:val="clear" w:color="auto" w:fill="DBE4FE"/>
          </w:tcPr>
          <w:p>
            <w:r>
              <w:rPr>
                <w:b/>
                <w:sz w:val="20"/>
              </w:rPr>
              <w:t>Total Employees</w:t>
            </w:r>
          </w:p>
        </w:tc>
        <w:tc>
          <w:tcPr>
            <w:tcW w:type="dxa" w:w="4703"/>
            <w:shd w:val="clear" w:color="auto" w:fill="F8FAFC"/>
          </w:tcPr>
          <w:p>
            <w:r>
              <w:rPr>
                <w:sz w:val="20"/>
              </w:rPr>
              <w:t>500</w:t>
            </w:r>
          </w:p>
        </w:tc>
      </w:tr>
      <w:tr>
        <w:tc>
          <w:tcPr>
            <w:tcW w:type="dxa" w:w="4703"/>
            <w:shd w:val="clear" w:color="auto" w:fill="F1F5F9"/>
          </w:tcPr>
          <w:p>
            <w:r>
              <w:rPr>
                <w:b/>
                <w:sz w:val="20"/>
              </w:rPr>
              <w:t>Employees Who Left</w:t>
            </w:r>
          </w:p>
        </w:tc>
        <w:tc>
          <w:tcPr>
            <w:tcW w:type="dxa" w:w="4703"/>
            <w:shd w:val="clear" w:color="auto" w:fill="FFFFFF"/>
          </w:tcPr>
          <w:p>
            <w:r>
              <w:rPr>
                <w:sz w:val="20"/>
              </w:rPr>
              <w:t>78</w:t>
            </w:r>
          </w:p>
        </w:tc>
      </w:tr>
      <w:tr>
        <w:tc>
          <w:tcPr>
            <w:tcW w:type="dxa" w:w="4703"/>
            <w:shd w:val="clear" w:color="auto" w:fill="DBE4FE"/>
          </w:tcPr>
          <w:p>
            <w:r>
              <w:rPr>
                <w:b/>
                <w:sz w:val="20"/>
              </w:rPr>
              <w:t>Employees Who Stayed</w:t>
            </w:r>
          </w:p>
        </w:tc>
        <w:tc>
          <w:tcPr>
            <w:tcW w:type="dxa" w:w="4703"/>
            <w:shd w:val="clear" w:color="auto" w:fill="F8FAFC"/>
          </w:tcPr>
          <w:p>
            <w:r>
              <w:rPr>
                <w:sz w:val="20"/>
              </w:rPr>
              <w:t>422</w:t>
            </w:r>
          </w:p>
        </w:tc>
      </w:tr>
      <w:tr>
        <w:tc>
          <w:tcPr>
            <w:tcW w:type="dxa" w:w="4703"/>
            <w:shd w:val="clear" w:color="auto" w:fill="F1F5F9"/>
          </w:tcPr>
          <w:p>
            <w:r>
              <w:rPr>
                <w:b/>
                <w:sz w:val="20"/>
              </w:rPr>
              <w:t>Overall Attrition Rate</w:t>
            </w:r>
          </w:p>
        </w:tc>
        <w:tc>
          <w:tcPr>
            <w:tcW w:type="dxa" w:w="4703"/>
            <w:shd w:val="clear" w:color="auto" w:fill="FFFFFF"/>
          </w:tcPr>
          <w:p>
            <w:r>
              <w:rPr>
                <w:sz w:val="20"/>
              </w:rPr>
              <w:t>15.6%</w:t>
            </w:r>
          </w:p>
        </w:tc>
      </w:tr>
      <w:tr>
        <w:tc>
          <w:tcPr>
            <w:tcW w:type="dxa" w:w="4703"/>
            <w:shd w:val="clear" w:color="auto" w:fill="DBE4FE"/>
          </w:tcPr>
          <w:p>
            <w:r>
              <w:rPr>
                <w:b/>
                <w:sz w:val="20"/>
              </w:rPr>
              <w:t>Average Age</w:t>
            </w:r>
          </w:p>
        </w:tc>
        <w:tc>
          <w:tcPr>
            <w:tcW w:type="dxa" w:w="4703"/>
            <w:shd w:val="clear" w:color="auto" w:fill="F8FAFC"/>
          </w:tcPr>
          <w:p>
            <w:r>
              <w:rPr>
                <w:sz w:val="20"/>
              </w:rPr>
              <w:t>36.9 years</w:t>
            </w:r>
          </w:p>
        </w:tc>
      </w:tr>
      <w:tr>
        <w:tc>
          <w:tcPr>
            <w:tcW w:type="dxa" w:w="4703"/>
            <w:shd w:val="clear" w:color="auto" w:fill="F1F5F9"/>
          </w:tcPr>
          <w:p>
            <w:r>
              <w:rPr>
                <w:b/>
                <w:sz w:val="20"/>
              </w:rPr>
              <w:t>Average Monthly Income</w:t>
            </w:r>
          </w:p>
        </w:tc>
        <w:tc>
          <w:tcPr>
            <w:tcW w:type="dxa" w:w="4703"/>
            <w:shd w:val="clear" w:color="auto" w:fill="FFFFFF"/>
          </w:tcPr>
          <w:p>
            <w:r>
              <w:rPr>
                <w:sz w:val="20"/>
              </w:rPr>
              <w:t>$6,598.64</w:t>
            </w:r>
          </w:p>
        </w:tc>
      </w:tr>
      <w:tr>
        <w:tc>
          <w:tcPr>
            <w:tcW w:type="dxa" w:w="4703"/>
            <w:shd w:val="clear" w:color="auto" w:fill="DBE4FE"/>
          </w:tcPr>
          <w:p>
            <w:r>
              <w:rPr>
                <w:b/>
                <w:sz w:val="20"/>
              </w:rPr>
              <w:t>Average Tenure</w:t>
            </w:r>
          </w:p>
        </w:tc>
        <w:tc>
          <w:tcPr>
            <w:tcW w:type="dxa" w:w="4703"/>
            <w:shd w:val="clear" w:color="auto" w:fill="F8FAFC"/>
          </w:tcPr>
          <w:p>
            <w:r>
              <w:rPr>
                <w:sz w:val="20"/>
              </w:rPr>
              <w:t>7.0 years</w:t>
            </w:r>
          </w:p>
        </w:tc>
      </w:tr>
      <w:tr>
        <w:tc>
          <w:tcPr>
            <w:tcW w:type="dxa" w:w="4703"/>
            <w:shd w:val="clear" w:color="auto" w:fill="F1F5F9"/>
          </w:tcPr>
          <w:p>
            <w:r>
              <w:rPr>
                <w:b/>
                <w:sz w:val="20"/>
              </w:rPr>
              <w:t>Avg Job Satisfaction</w:t>
            </w:r>
          </w:p>
        </w:tc>
        <w:tc>
          <w:tcPr>
            <w:tcW w:type="dxa" w:w="4703"/>
            <w:shd w:val="clear" w:color="auto" w:fill="FFFFFF"/>
          </w:tcPr>
          <w:p>
            <w:r>
              <w:rPr>
                <w:sz w:val="20"/>
              </w:rPr>
              <w:t>2.8 / 4</w:t>
            </w:r>
          </w:p>
        </w:tc>
      </w:tr>
      <w:tr>
        <w:tc>
          <w:tcPr>
            <w:tcW w:type="dxa" w:w="4703"/>
            <w:shd w:val="clear" w:color="auto" w:fill="DBE4FE"/>
          </w:tcPr>
          <w:p>
            <w:r>
              <w:rPr>
                <w:b/>
                <w:sz w:val="20"/>
              </w:rPr>
              <w:t>Avg Work-Life Balance</w:t>
            </w:r>
          </w:p>
        </w:tc>
        <w:tc>
          <w:tcPr>
            <w:tcW w:type="dxa" w:w="4703"/>
            <w:shd w:val="clear" w:color="auto" w:fill="F8FAFC"/>
          </w:tcPr>
          <w:p>
            <w:r>
              <w:rPr>
                <w:sz w:val="20"/>
              </w:rPr>
              <w:t>2.75 / 4</w:t>
            </w:r>
          </w:p>
        </w:tc>
      </w:tr>
    </w:tbl>
    <w:p/>
    <w:p>
      <w:pPr>
        <w:pStyle w:val="Heading1"/>
        <w:spacing w:before="280" w:after="120"/>
      </w:pPr>
      <w:r>
        <w:rPr>
          <w:b/>
          <w:color w:val="1E3A5F"/>
          <w:sz w:val="32"/>
        </w:rPr>
        <w:t>5. Analysis 2 – Department-Level Patterns</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E3A5F"/>
          </w:tcPr>
          <w:p>
            <w:pPr>
              <w:jc w:val="center"/>
            </w:pPr>
            <w:r>
              <w:rPr>
                <w:b/>
                <w:color w:val="FFFFFF"/>
                <w:sz w:val="18"/>
              </w:rPr>
              <w:t>Department</w:t>
            </w:r>
          </w:p>
        </w:tc>
        <w:tc>
          <w:tcPr>
            <w:tcW w:type="dxa" w:w="1176"/>
            <w:shd w:val="clear" w:color="auto" w:fill="1E3A5F"/>
          </w:tcPr>
          <w:p>
            <w:pPr>
              <w:jc w:val="center"/>
            </w:pPr>
            <w:r>
              <w:rPr>
                <w:b/>
                <w:color w:val="FFFFFF"/>
                <w:sz w:val="18"/>
              </w:rPr>
              <w:t>Total</w:t>
            </w:r>
          </w:p>
        </w:tc>
        <w:tc>
          <w:tcPr>
            <w:tcW w:type="dxa" w:w="1176"/>
            <w:shd w:val="clear" w:color="auto" w:fill="1E3A5F"/>
          </w:tcPr>
          <w:p>
            <w:pPr>
              <w:jc w:val="center"/>
            </w:pPr>
            <w:r>
              <w:rPr>
                <w:b/>
                <w:color w:val="FFFFFF"/>
                <w:sz w:val="18"/>
              </w:rPr>
              <w:t>Attrited</w:t>
            </w:r>
          </w:p>
        </w:tc>
        <w:tc>
          <w:tcPr>
            <w:tcW w:type="dxa" w:w="1176"/>
            <w:shd w:val="clear" w:color="auto" w:fill="1E3A5F"/>
          </w:tcPr>
          <w:p>
            <w:pPr>
              <w:jc w:val="center"/>
            </w:pPr>
            <w:r>
              <w:rPr>
                <w:b/>
                <w:color w:val="FFFFFF"/>
                <w:sz w:val="18"/>
              </w:rPr>
              <w:t>AttritionRate%</w:t>
            </w:r>
          </w:p>
        </w:tc>
        <w:tc>
          <w:tcPr>
            <w:tcW w:type="dxa" w:w="1176"/>
            <w:shd w:val="clear" w:color="auto" w:fill="1E3A5F"/>
          </w:tcPr>
          <w:p>
            <w:pPr>
              <w:jc w:val="center"/>
            </w:pPr>
            <w:r>
              <w:rPr>
                <w:b/>
                <w:color w:val="FFFFFF"/>
                <w:sz w:val="18"/>
              </w:rPr>
              <w:t>AvgAge</w:t>
            </w:r>
          </w:p>
        </w:tc>
        <w:tc>
          <w:tcPr>
            <w:tcW w:type="dxa" w:w="1176"/>
            <w:shd w:val="clear" w:color="auto" w:fill="1E3A5F"/>
          </w:tcPr>
          <w:p>
            <w:pPr>
              <w:jc w:val="center"/>
            </w:pPr>
            <w:r>
              <w:rPr>
                <w:b/>
                <w:color w:val="FFFFFF"/>
                <w:sz w:val="18"/>
              </w:rPr>
              <w:t>AvgIncome</w:t>
            </w:r>
          </w:p>
        </w:tc>
        <w:tc>
          <w:tcPr>
            <w:tcW w:type="dxa" w:w="1176"/>
            <w:shd w:val="clear" w:color="auto" w:fill="1E3A5F"/>
          </w:tcPr>
          <w:p>
            <w:pPr>
              <w:jc w:val="center"/>
            </w:pPr>
            <w:r>
              <w:rPr>
                <w:b/>
                <w:color w:val="FFFFFF"/>
                <w:sz w:val="18"/>
              </w:rPr>
              <w:t>AvgTenure</w:t>
            </w:r>
          </w:p>
        </w:tc>
        <w:tc>
          <w:tcPr>
            <w:tcW w:type="dxa" w:w="1176"/>
            <w:shd w:val="clear" w:color="auto" w:fill="1E3A5F"/>
          </w:tcPr>
          <w:p>
            <w:pPr>
              <w:jc w:val="center"/>
            </w:pPr>
            <w:r>
              <w:rPr>
                <w:b/>
                <w:color w:val="FFFFFF"/>
                <w:sz w:val="18"/>
              </w:rPr>
              <w:t>AvgSatisfaction</w:t>
            </w:r>
          </w:p>
        </w:tc>
      </w:tr>
      <w:tr>
        <w:tc>
          <w:tcPr>
            <w:tcW w:type="dxa" w:w="1176"/>
            <w:shd w:val="clear" w:color="auto" w:fill="EFF6FF"/>
          </w:tcPr>
          <w:p>
            <w:pPr>
              <w:jc w:val="center"/>
            </w:pPr>
            <w:r>
              <w:rPr>
                <w:sz w:val="18"/>
              </w:rPr>
              <w:t>Human Resources</w:t>
            </w:r>
          </w:p>
        </w:tc>
        <w:tc>
          <w:tcPr>
            <w:tcW w:type="dxa" w:w="1176"/>
            <w:shd w:val="clear" w:color="auto" w:fill="EFF6FF"/>
          </w:tcPr>
          <w:p>
            <w:pPr>
              <w:jc w:val="center"/>
            </w:pPr>
            <w:r>
              <w:rPr>
                <w:sz w:val="18"/>
              </w:rPr>
              <w:t>14</w:t>
            </w:r>
          </w:p>
        </w:tc>
        <w:tc>
          <w:tcPr>
            <w:tcW w:type="dxa" w:w="1176"/>
            <w:shd w:val="clear" w:color="auto" w:fill="EFF6FF"/>
          </w:tcPr>
          <w:p>
            <w:pPr>
              <w:jc w:val="center"/>
            </w:pPr>
            <w:r>
              <w:rPr>
                <w:sz w:val="18"/>
              </w:rPr>
              <w:t>4</w:t>
            </w:r>
          </w:p>
        </w:tc>
        <w:tc>
          <w:tcPr>
            <w:tcW w:type="dxa" w:w="1176"/>
            <w:shd w:val="clear" w:color="auto" w:fill="EFF6FF"/>
          </w:tcPr>
          <w:p>
            <w:pPr>
              <w:jc w:val="center"/>
            </w:pPr>
            <w:r>
              <w:rPr>
                <w:sz w:val="18"/>
              </w:rPr>
              <w:t>28.6%</w:t>
            </w:r>
          </w:p>
        </w:tc>
        <w:tc>
          <w:tcPr>
            <w:tcW w:type="dxa" w:w="1176"/>
            <w:shd w:val="clear" w:color="auto" w:fill="EFF6FF"/>
          </w:tcPr>
          <w:p>
            <w:pPr>
              <w:jc w:val="center"/>
            </w:pPr>
            <w:r>
              <w:rPr>
                <w:sz w:val="18"/>
              </w:rPr>
              <w:t>39.8</w:t>
            </w:r>
          </w:p>
        </w:tc>
        <w:tc>
          <w:tcPr>
            <w:tcW w:type="dxa" w:w="1176"/>
            <w:shd w:val="clear" w:color="auto" w:fill="EFF6FF"/>
          </w:tcPr>
          <w:p>
            <w:pPr>
              <w:jc w:val="center"/>
            </w:pPr>
            <w:r>
              <w:rPr>
                <w:sz w:val="18"/>
              </w:rPr>
              <w:t>$7,383</w:t>
            </w:r>
          </w:p>
        </w:tc>
        <w:tc>
          <w:tcPr>
            <w:tcW w:type="dxa" w:w="1176"/>
            <w:shd w:val="clear" w:color="auto" w:fill="EFF6FF"/>
          </w:tcPr>
          <w:p>
            <w:pPr>
              <w:jc w:val="center"/>
            </w:pPr>
            <w:r>
              <w:rPr>
                <w:sz w:val="18"/>
              </w:rPr>
              <w:t>6.1</w:t>
            </w:r>
          </w:p>
        </w:tc>
        <w:tc>
          <w:tcPr>
            <w:tcW w:type="dxa" w:w="1176"/>
            <w:shd w:val="clear" w:color="auto" w:fill="EFF6FF"/>
          </w:tcPr>
          <w:p>
            <w:pPr>
              <w:jc w:val="center"/>
            </w:pPr>
            <w:r>
              <w:rPr>
                <w:sz w:val="18"/>
              </w:rPr>
              <w:t>2.7</w:t>
            </w:r>
          </w:p>
        </w:tc>
      </w:tr>
      <w:tr>
        <w:tc>
          <w:tcPr>
            <w:tcW w:type="dxa" w:w="1176"/>
            <w:shd w:val="clear" w:color="auto" w:fill="FFFFFF"/>
          </w:tcPr>
          <w:p>
            <w:pPr>
              <w:jc w:val="center"/>
            </w:pPr>
            <w:r>
              <w:rPr>
                <w:sz w:val="18"/>
              </w:rPr>
              <w:t>Research &amp; Development</w:t>
            </w:r>
          </w:p>
        </w:tc>
        <w:tc>
          <w:tcPr>
            <w:tcW w:type="dxa" w:w="1176"/>
            <w:shd w:val="clear" w:color="auto" w:fill="FFFFFF"/>
          </w:tcPr>
          <w:p>
            <w:pPr>
              <w:jc w:val="center"/>
            </w:pPr>
            <w:r>
              <w:rPr>
                <w:sz w:val="18"/>
              </w:rPr>
              <w:t>333</w:t>
            </w:r>
          </w:p>
        </w:tc>
        <w:tc>
          <w:tcPr>
            <w:tcW w:type="dxa" w:w="1176"/>
            <w:shd w:val="clear" w:color="auto" w:fill="FFFFFF"/>
          </w:tcPr>
          <w:p>
            <w:pPr>
              <w:jc w:val="center"/>
            </w:pPr>
            <w:r>
              <w:rPr>
                <w:sz w:val="18"/>
              </w:rPr>
              <w:t>45</w:t>
            </w:r>
          </w:p>
        </w:tc>
        <w:tc>
          <w:tcPr>
            <w:tcW w:type="dxa" w:w="1176"/>
            <w:shd w:val="clear" w:color="auto" w:fill="FFFFFF"/>
          </w:tcPr>
          <w:p>
            <w:pPr>
              <w:jc w:val="center"/>
            </w:pPr>
            <w:r>
              <w:rPr>
                <w:sz w:val="18"/>
              </w:rPr>
              <w:t>13.5%</w:t>
            </w:r>
          </w:p>
        </w:tc>
        <w:tc>
          <w:tcPr>
            <w:tcW w:type="dxa" w:w="1176"/>
            <w:shd w:val="clear" w:color="auto" w:fill="FFFFFF"/>
          </w:tcPr>
          <w:p>
            <w:pPr>
              <w:jc w:val="center"/>
            </w:pPr>
            <w:r>
              <w:rPr>
                <w:sz w:val="18"/>
              </w:rPr>
              <w:t>37.2</w:t>
            </w:r>
          </w:p>
        </w:tc>
        <w:tc>
          <w:tcPr>
            <w:tcW w:type="dxa" w:w="1176"/>
            <w:shd w:val="clear" w:color="auto" w:fill="FFFFFF"/>
          </w:tcPr>
          <w:p>
            <w:pPr>
              <w:jc w:val="center"/>
            </w:pPr>
            <w:r>
              <w:rPr>
                <w:sz w:val="18"/>
              </w:rPr>
              <w:t>$6,397</w:t>
            </w:r>
          </w:p>
        </w:tc>
        <w:tc>
          <w:tcPr>
            <w:tcW w:type="dxa" w:w="1176"/>
            <w:shd w:val="clear" w:color="auto" w:fill="FFFFFF"/>
          </w:tcPr>
          <w:p>
            <w:pPr>
              <w:jc w:val="center"/>
            </w:pPr>
            <w:r>
              <w:rPr>
                <w:sz w:val="18"/>
              </w:rPr>
              <w:t>6.9</w:t>
            </w:r>
          </w:p>
        </w:tc>
        <w:tc>
          <w:tcPr>
            <w:tcW w:type="dxa" w:w="1176"/>
            <w:shd w:val="clear" w:color="auto" w:fill="FFFFFF"/>
          </w:tcPr>
          <w:p>
            <w:pPr>
              <w:jc w:val="center"/>
            </w:pPr>
            <w:r>
              <w:rPr>
                <w:sz w:val="18"/>
              </w:rPr>
              <w:t>2.8</w:t>
            </w:r>
          </w:p>
        </w:tc>
      </w:tr>
      <w:tr>
        <w:tc>
          <w:tcPr>
            <w:tcW w:type="dxa" w:w="1176"/>
            <w:shd w:val="clear" w:color="auto" w:fill="EFF6FF"/>
          </w:tcPr>
          <w:p>
            <w:pPr>
              <w:jc w:val="center"/>
            </w:pPr>
            <w:r>
              <w:rPr>
                <w:sz w:val="18"/>
              </w:rPr>
              <w:t>Sales</w:t>
            </w:r>
          </w:p>
        </w:tc>
        <w:tc>
          <w:tcPr>
            <w:tcW w:type="dxa" w:w="1176"/>
            <w:shd w:val="clear" w:color="auto" w:fill="EFF6FF"/>
          </w:tcPr>
          <w:p>
            <w:pPr>
              <w:jc w:val="center"/>
            </w:pPr>
            <w:r>
              <w:rPr>
                <w:sz w:val="18"/>
              </w:rPr>
              <w:t>153</w:t>
            </w:r>
          </w:p>
        </w:tc>
        <w:tc>
          <w:tcPr>
            <w:tcW w:type="dxa" w:w="1176"/>
            <w:shd w:val="clear" w:color="auto" w:fill="EFF6FF"/>
          </w:tcPr>
          <w:p>
            <w:pPr>
              <w:jc w:val="center"/>
            </w:pPr>
            <w:r>
              <w:rPr>
                <w:sz w:val="18"/>
              </w:rPr>
              <w:t>29</w:t>
            </w:r>
          </w:p>
        </w:tc>
        <w:tc>
          <w:tcPr>
            <w:tcW w:type="dxa" w:w="1176"/>
            <w:shd w:val="clear" w:color="auto" w:fill="EFF6FF"/>
          </w:tcPr>
          <w:p>
            <w:pPr>
              <w:jc w:val="center"/>
            </w:pPr>
            <w:r>
              <w:rPr>
                <w:sz w:val="18"/>
              </w:rPr>
              <w:t>19.0%</w:t>
            </w:r>
          </w:p>
        </w:tc>
        <w:tc>
          <w:tcPr>
            <w:tcW w:type="dxa" w:w="1176"/>
            <w:shd w:val="clear" w:color="auto" w:fill="EFF6FF"/>
          </w:tcPr>
          <w:p>
            <w:pPr>
              <w:jc w:val="center"/>
            </w:pPr>
            <w:r>
              <w:rPr>
                <w:sz w:val="18"/>
              </w:rPr>
              <w:t>35.9</w:t>
            </w:r>
          </w:p>
        </w:tc>
        <w:tc>
          <w:tcPr>
            <w:tcW w:type="dxa" w:w="1176"/>
            <w:shd w:val="clear" w:color="auto" w:fill="EFF6FF"/>
          </w:tcPr>
          <w:p>
            <w:pPr>
              <w:jc w:val="center"/>
            </w:pPr>
            <w:r>
              <w:rPr>
                <w:sz w:val="18"/>
              </w:rPr>
              <w:t>$6,966</w:t>
            </w:r>
          </w:p>
        </w:tc>
        <w:tc>
          <w:tcPr>
            <w:tcW w:type="dxa" w:w="1176"/>
            <w:shd w:val="clear" w:color="auto" w:fill="EFF6FF"/>
          </w:tcPr>
          <w:p>
            <w:pPr>
              <w:jc w:val="center"/>
            </w:pPr>
            <w:r>
              <w:rPr>
                <w:sz w:val="18"/>
              </w:rPr>
              <w:t>7.5</w:t>
            </w:r>
          </w:p>
        </w:tc>
        <w:tc>
          <w:tcPr>
            <w:tcW w:type="dxa" w:w="1176"/>
            <w:shd w:val="clear" w:color="auto" w:fill="EFF6FF"/>
          </w:tcPr>
          <w:p>
            <w:pPr>
              <w:jc w:val="center"/>
            </w:pPr>
            <w:r>
              <w:rPr>
                <w:sz w:val="18"/>
              </w:rPr>
              <w:t>2.9</w:t>
            </w:r>
          </w:p>
        </w:tc>
      </w:tr>
    </w:tbl>
    <w:p/>
    <w:p>
      <w:pPr>
        <w:pStyle w:val="Heading1"/>
        <w:spacing w:before="280" w:after="120"/>
      </w:pPr>
      <w:r>
        <w:rPr>
          <w:b/>
          <w:color w:val="1E3A5F"/>
          <w:sz w:val="32"/>
        </w:rPr>
        <w:t>6. Analysis 3 – Job Role Breakdown</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E3A5F"/>
          </w:tcPr>
          <w:p>
            <w:pPr>
              <w:jc w:val="center"/>
            </w:pPr>
            <w:r>
              <w:rPr>
                <w:b/>
                <w:color w:val="FFFFFF"/>
                <w:sz w:val="18"/>
              </w:rPr>
              <w:t>JobRole</w:t>
            </w:r>
          </w:p>
        </w:tc>
        <w:tc>
          <w:tcPr>
            <w:tcW w:type="dxa" w:w="1344"/>
            <w:shd w:val="clear" w:color="auto" w:fill="1E3A5F"/>
          </w:tcPr>
          <w:p>
            <w:pPr>
              <w:jc w:val="center"/>
            </w:pPr>
            <w:r>
              <w:rPr>
                <w:b/>
                <w:color w:val="FFFFFF"/>
                <w:sz w:val="18"/>
              </w:rPr>
              <w:t>Total</w:t>
            </w:r>
          </w:p>
        </w:tc>
        <w:tc>
          <w:tcPr>
            <w:tcW w:type="dxa" w:w="1344"/>
            <w:shd w:val="clear" w:color="auto" w:fill="1E3A5F"/>
          </w:tcPr>
          <w:p>
            <w:pPr>
              <w:jc w:val="center"/>
            </w:pPr>
            <w:r>
              <w:rPr>
                <w:b/>
                <w:color w:val="FFFFFF"/>
                <w:sz w:val="18"/>
              </w:rPr>
              <w:t>Attrited</w:t>
            </w:r>
          </w:p>
        </w:tc>
        <w:tc>
          <w:tcPr>
            <w:tcW w:type="dxa" w:w="1344"/>
            <w:shd w:val="clear" w:color="auto" w:fill="1E3A5F"/>
          </w:tcPr>
          <w:p>
            <w:pPr>
              <w:jc w:val="center"/>
            </w:pPr>
            <w:r>
              <w:rPr>
                <w:b/>
                <w:color w:val="FFFFFF"/>
                <w:sz w:val="18"/>
              </w:rPr>
              <w:t>AttritionRate%</w:t>
            </w:r>
          </w:p>
        </w:tc>
        <w:tc>
          <w:tcPr>
            <w:tcW w:type="dxa" w:w="1344"/>
            <w:shd w:val="clear" w:color="auto" w:fill="1E3A5F"/>
          </w:tcPr>
          <w:p>
            <w:pPr>
              <w:jc w:val="center"/>
            </w:pPr>
            <w:r>
              <w:rPr>
                <w:b/>
                <w:color w:val="FFFFFF"/>
                <w:sz w:val="18"/>
              </w:rPr>
              <w:t>AvgIncome</w:t>
            </w:r>
          </w:p>
        </w:tc>
        <w:tc>
          <w:tcPr>
            <w:tcW w:type="dxa" w:w="1344"/>
            <w:shd w:val="clear" w:color="auto" w:fill="1E3A5F"/>
          </w:tcPr>
          <w:p>
            <w:pPr>
              <w:jc w:val="center"/>
            </w:pPr>
            <w:r>
              <w:rPr>
                <w:b/>
                <w:color w:val="FFFFFF"/>
                <w:sz w:val="18"/>
              </w:rPr>
              <w:t>AvgSatisfaction</w:t>
            </w:r>
          </w:p>
        </w:tc>
        <w:tc>
          <w:tcPr>
            <w:tcW w:type="dxa" w:w="1344"/>
            <w:shd w:val="clear" w:color="auto" w:fill="1E3A5F"/>
          </w:tcPr>
          <w:p>
            <w:pPr>
              <w:jc w:val="center"/>
            </w:pPr>
            <w:r>
              <w:rPr>
                <w:b/>
                <w:color w:val="FFFFFF"/>
                <w:sz w:val="18"/>
              </w:rPr>
              <w:t>AvgWLB</w:t>
            </w:r>
          </w:p>
        </w:tc>
      </w:tr>
      <w:tr>
        <w:tc>
          <w:tcPr>
            <w:tcW w:type="dxa" w:w="1344"/>
            <w:shd w:val="clear" w:color="auto" w:fill="EFF6FF"/>
          </w:tcPr>
          <w:p>
            <w:pPr>
              <w:jc w:val="center"/>
            </w:pPr>
            <w:r>
              <w:rPr>
                <w:sz w:val="18"/>
              </w:rPr>
              <w:t>Sales Representative</w:t>
            </w:r>
          </w:p>
        </w:tc>
        <w:tc>
          <w:tcPr>
            <w:tcW w:type="dxa" w:w="1344"/>
            <w:shd w:val="clear" w:color="auto" w:fill="EFF6FF"/>
          </w:tcPr>
          <w:p>
            <w:pPr>
              <w:jc w:val="center"/>
            </w:pPr>
            <w:r>
              <w:rPr>
                <w:sz w:val="18"/>
              </w:rPr>
              <w:t>30</w:t>
            </w:r>
          </w:p>
        </w:tc>
        <w:tc>
          <w:tcPr>
            <w:tcW w:type="dxa" w:w="1344"/>
            <w:shd w:val="clear" w:color="auto" w:fill="EFF6FF"/>
          </w:tcPr>
          <w:p>
            <w:pPr>
              <w:jc w:val="center"/>
            </w:pPr>
            <w:r>
              <w:rPr>
                <w:sz w:val="18"/>
              </w:rPr>
              <w:t>14</w:t>
            </w:r>
          </w:p>
        </w:tc>
        <w:tc>
          <w:tcPr>
            <w:tcW w:type="dxa" w:w="1344"/>
            <w:shd w:val="clear" w:color="auto" w:fill="EFF6FF"/>
          </w:tcPr>
          <w:p>
            <w:pPr>
              <w:jc w:val="center"/>
            </w:pPr>
            <w:r>
              <w:rPr>
                <w:sz w:val="18"/>
              </w:rPr>
              <w:t>46.7%</w:t>
            </w:r>
          </w:p>
        </w:tc>
        <w:tc>
          <w:tcPr>
            <w:tcW w:type="dxa" w:w="1344"/>
            <w:shd w:val="clear" w:color="auto" w:fill="EFF6FF"/>
          </w:tcPr>
          <w:p>
            <w:pPr>
              <w:jc w:val="center"/>
            </w:pPr>
            <w:r>
              <w:rPr>
                <w:sz w:val="18"/>
              </w:rPr>
              <w:t>$2,557</w:t>
            </w:r>
          </w:p>
        </w:tc>
        <w:tc>
          <w:tcPr>
            <w:tcW w:type="dxa" w:w="1344"/>
            <w:shd w:val="clear" w:color="auto" w:fill="EFF6FF"/>
          </w:tcPr>
          <w:p>
            <w:pPr>
              <w:jc w:val="center"/>
            </w:pPr>
            <w:r>
              <w:rPr>
                <w:sz w:val="18"/>
              </w:rPr>
              <w:t>2.5</w:t>
            </w:r>
          </w:p>
        </w:tc>
        <w:tc>
          <w:tcPr>
            <w:tcW w:type="dxa" w:w="1344"/>
            <w:shd w:val="clear" w:color="auto" w:fill="EFF6FF"/>
          </w:tcPr>
          <w:p>
            <w:pPr>
              <w:jc w:val="center"/>
            </w:pPr>
            <w:r>
              <w:rPr>
                <w:sz w:val="18"/>
              </w:rPr>
              <w:t>2.9</w:t>
            </w:r>
          </w:p>
        </w:tc>
      </w:tr>
      <w:tr>
        <w:tc>
          <w:tcPr>
            <w:tcW w:type="dxa" w:w="1344"/>
            <w:shd w:val="clear" w:color="auto" w:fill="FFFFFF"/>
          </w:tcPr>
          <w:p>
            <w:pPr>
              <w:jc w:val="center"/>
            </w:pPr>
            <w:r>
              <w:rPr>
                <w:sz w:val="18"/>
              </w:rPr>
              <w:t>Human Resources</w:t>
            </w:r>
          </w:p>
        </w:tc>
        <w:tc>
          <w:tcPr>
            <w:tcW w:type="dxa" w:w="1344"/>
            <w:shd w:val="clear" w:color="auto" w:fill="FFFFFF"/>
          </w:tcPr>
          <w:p>
            <w:pPr>
              <w:jc w:val="center"/>
            </w:pPr>
            <w:r>
              <w:rPr>
                <w:sz w:val="18"/>
              </w:rPr>
              <w:t>11</w:t>
            </w:r>
          </w:p>
        </w:tc>
        <w:tc>
          <w:tcPr>
            <w:tcW w:type="dxa" w:w="1344"/>
            <w:shd w:val="clear" w:color="auto" w:fill="FFFFFF"/>
          </w:tcPr>
          <w:p>
            <w:pPr>
              <w:jc w:val="center"/>
            </w:pPr>
            <w:r>
              <w:rPr>
                <w:sz w:val="18"/>
              </w:rPr>
              <w:t>4</w:t>
            </w:r>
          </w:p>
        </w:tc>
        <w:tc>
          <w:tcPr>
            <w:tcW w:type="dxa" w:w="1344"/>
            <w:shd w:val="clear" w:color="auto" w:fill="FFFFFF"/>
          </w:tcPr>
          <w:p>
            <w:pPr>
              <w:jc w:val="center"/>
            </w:pPr>
            <w:r>
              <w:rPr>
                <w:sz w:val="18"/>
              </w:rPr>
              <w:t>36.4%</w:t>
            </w:r>
          </w:p>
        </w:tc>
        <w:tc>
          <w:tcPr>
            <w:tcW w:type="dxa" w:w="1344"/>
            <w:shd w:val="clear" w:color="auto" w:fill="FFFFFF"/>
          </w:tcPr>
          <w:p>
            <w:pPr>
              <w:jc w:val="center"/>
            </w:pPr>
            <w:r>
              <w:rPr>
                <w:sz w:val="18"/>
              </w:rPr>
              <w:t>$4,454</w:t>
            </w:r>
          </w:p>
        </w:tc>
        <w:tc>
          <w:tcPr>
            <w:tcW w:type="dxa" w:w="1344"/>
            <w:shd w:val="clear" w:color="auto" w:fill="FFFFFF"/>
          </w:tcPr>
          <w:p>
            <w:pPr>
              <w:jc w:val="center"/>
            </w:pPr>
            <w:r>
              <w:rPr>
                <w:sz w:val="18"/>
              </w:rPr>
              <w:t>2.5</w:t>
            </w:r>
          </w:p>
        </w:tc>
        <w:tc>
          <w:tcPr>
            <w:tcW w:type="dxa" w:w="1344"/>
            <w:shd w:val="clear" w:color="auto" w:fill="FFFFFF"/>
          </w:tcPr>
          <w:p>
            <w:pPr>
              <w:jc w:val="center"/>
            </w:pPr>
            <w:r>
              <w:rPr>
                <w:sz w:val="18"/>
              </w:rPr>
              <w:t>2.8</w:t>
            </w:r>
          </w:p>
        </w:tc>
      </w:tr>
      <w:tr>
        <w:tc>
          <w:tcPr>
            <w:tcW w:type="dxa" w:w="1344"/>
            <w:shd w:val="clear" w:color="auto" w:fill="EFF6FF"/>
          </w:tcPr>
          <w:p>
            <w:pPr>
              <w:jc w:val="center"/>
            </w:pPr>
            <w:r>
              <w:rPr>
                <w:sz w:val="18"/>
              </w:rPr>
              <w:t>Laboratory Technician</w:t>
            </w:r>
          </w:p>
        </w:tc>
        <w:tc>
          <w:tcPr>
            <w:tcW w:type="dxa" w:w="1344"/>
            <w:shd w:val="clear" w:color="auto" w:fill="EFF6FF"/>
          </w:tcPr>
          <w:p>
            <w:pPr>
              <w:jc w:val="center"/>
            </w:pPr>
            <w:r>
              <w:rPr>
                <w:sz w:val="18"/>
              </w:rPr>
              <w:t>93</w:t>
            </w:r>
          </w:p>
        </w:tc>
        <w:tc>
          <w:tcPr>
            <w:tcW w:type="dxa" w:w="1344"/>
            <w:shd w:val="clear" w:color="auto" w:fill="EFF6FF"/>
          </w:tcPr>
          <w:p>
            <w:pPr>
              <w:jc w:val="center"/>
            </w:pPr>
            <w:r>
              <w:rPr>
                <w:sz w:val="18"/>
              </w:rPr>
              <w:t>23</w:t>
            </w:r>
          </w:p>
        </w:tc>
        <w:tc>
          <w:tcPr>
            <w:tcW w:type="dxa" w:w="1344"/>
            <w:shd w:val="clear" w:color="auto" w:fill="EFF6FF"/>
          </w:tcPr>
          <w:p>
            <w:pPr>
              <w:jc w:val="center"/>
            </w:pPr>
            <w:r>
              <w:rPr>
                <w:sz w:val="18"/>
              </w:rPr>
              <w:t>24.7%</w:t>
            </w:r>
          </w:p>
        </w:tc>
        <w:tc>
          <w:tcPr>
            <w:tcW w:type="dxa" w:w="1344"/>
            <w:shd w:val="clear" w:color="auto" w:fill="EFF6FF"/>
          </w:tcPr>
          <w:p>
            <w:pPr>
              <w:jc w:val="center"/>
            </w:pPr>
            <w:r>
              <w:rPr>
                <w:sz w:val="18"/>
              </w:rPr>
              <w:t>$3,126</w:t>
            </w:r>
          </w:p>
        </w:tc>
        <w:tc>
          <w:tcPr>
            <w:tcW w:type="dxa" w:w="1344"/>
            <w:shd w:val="clear" w:color="auto" w:fill="EFF6FF"/>
          </w:tcPr>
          <w:p>
            <w:pPr>
              <w:jc w:val="center"/>
            </w:pPr>
            <w:r>
              <w:rPr>
                <w:sz w:val="18"/>
              </w:rPr>
              <w:t>2.8</w:t>
            </w:r>
          </w:p>
        </w:tc>
        <w:tc>
          <w:tcPr>
            <w:tcW w:type="dxa" w:w="1344"/>
            <w:shd w:val="clear" w:color="auto" w:fill="EFF6FF"/>
          </w:tcPr>
          <w:p>
            <w:pPr>
              <w:jc w:val="center"/>
            </w:pPr>
            <w:r>
              <w:rPr>
                <w:sz w:val="18"/>
              </w:rPr>
              <w:t>2.8</w:t>
            </w:r>
          </w:p>
        </w:tc>
      </w:tr>
      <w:tr>
        <w:tc>
          <w:tcPr>
            <w:tcW w:type="dxa" w:w="1344"/>
            <w:shd w:val="clear" w:color="auto" w:fill="FFFFFF"/>
          </w:tcPr>
          <w:p>
            <w:pPr>
              <w:jc w:val="center"/>
            </w:pPr>
            <w:r>
              <w:rPr>
                <w:sz w:val="18"/>
              </w:rPr>
              <w:t>Sales Executive</w:t>
            </w:r>
          </w:p>
        </w:tc>
        <w:tc>
          <w:tcPr>
            <w:tcW w:type="dxa" w:w="1344"/>
            <w:shd w:val="clear" w:color="auto" w:fill="FFFFFF"/>
          </w:tcPr>
          <w:p>
            <w:pPr>
              <w:jc w:val="center"/>
            </w:pPr>
            <w:r>
              <w:rPr>
                <w:sz w:val="18"/>
              </w:rPr>
              <w:t>108</w:t>
            </w:r>
          </w:p>
        </w:tc>
        <w:tc>
          <w:tcPr>
            <w:tcW w:type="dxa" w:w="1344"/>
            <w:shd w:val="clear" w:color="auto" w:fill="FFFFFF"/>
          </w:tcPr>
          <w:p>
            <w:pPr>
              <w:jc w:val="center"/>
            </w:pPr>
            <w:r>
              <w:rPr>
                <w:sz w:val="18"/>
              </w:rPr>
              <w:t>15</w:t>
            </w:r>
          </w:p>
        </w:tc>
        <w:tc>
          <w:tcPr>
            <w:tcW w:type="dxa" w:w="1344"/>
            <w:shd w:val="clear" w:color="auto" w:fill="FFFFFF"/>
          </w:tcPr>
          <w:p>
            <w:pPr>
              <w:jc w:val="center"/>
            </w:pPr>
            <w:r>
              <w:rPr>
                <w:sz w:val="18"/>
              </w:rPr>
              <w:t>13.9%</w:t>
            </w:r>
          </w:p>
        </w:tc>
        <w:tc>
          <w:tcPr>
            <w:tcW w:type="dxa" w:w="1344"/>
            <w:shd w:val="clear" w:color="auto" w:fill="FFFFFF"/>
          </w:tcPr>
          <w:p>
            <w:pPr>
              <w:jc w:val="center"/>
            </w:pPr>
            <w:r>
              <w:rPr>
                <w:sz w:val="18"/>
              </w:rPr>
              <w:t>$6,916</w:t>
            </w:r>
          </w:p>
        </w:tc>
        <w:tc>
          <w:tcPr>
            <w:tcW w:type="dxa" w:w="1344"/>
            <w:shd w:val="clear" w:color="auto" w:fill="FFFFFF"/>
          </w:tcPr>
          <w:p>
            <w:pPr>
              <w:jc w:val="center"/>
            </w:pPr>
            <w:r>
              <w:rPr>
                <w:sz w:val="18"/>
              </w:rPr>
              <w:t>2.9</w:t>
            </w:r>
          </w:p>
        </w:tc>
        <w:tc>
          <w:tcPr>
            <w:tcW w:type="dxa" w:w="1344"/>
            <w:shd w:val="clear" w:color="auto" w:fill="FFFFFF"/>
          </w:tcPr>
          <w:p>
            <w:pPr>
              <w:jc w:val="center"/>
            </w:pPr>
            <w:r>
              <w:rPr>
                <w:sz w:val="18"/>
              </w:rPr>
              <w:t>2.8</w:t>
            </w:r>
          </w:p>
        </w:tc>
      </w:tr>
      <w:tr>
        <w:tc>
          <w:tcPr>
            <w:tcW w:type="dxa" w:w="1344"/>
            <w:shd w:val="clear" w:color="auto" w:fill="EFF6FF"/>
          </w:tcPr>
          <w:p>
            <w:pPr>
              <w:jc w:val="center"/>
            </w:pPr>
            <w:r>
              <w:rPr>
                <w:sz w:val="18"/>
              </w:rPr>
              <w:t>Research Scientist</w:t>
            </w:r>
          </w:p>
        </w:tc>
        <w:tc>
          <w:tcPr>
            <w:tcW w:type="dxa" w:w="1344"/>
            <w:shd w:val="clear" w:color="auto" w:fill="EFF6FF"/>
          </w:tcPr>
          <w:p>
            <w:pPr>
              <w:jc w:val="center"/>
            </w:pPr>
            <w:r>
              <w:rPr>
                <w:sz w:val="18"/>
              </w:rPr>
              <w:t>99</w:t>
            </w:r>
          </w:p>
        </w:tc>
        <w:tc>
          <w:tcPr>
            <w:tcW w:type="dxa" w:w="1344"/>
            <w:shd w:val="clear" w:color="auto" w:fill="EFF6FF"/>
          </w:tcPr>
          <w:p>
            <w:pPr>
              <w:jc w:val="center"/>
            </w:pPr>
            <w:r>
              <w:rPr>
                <w:sz w:val="18"/>
              </w:rPr>
              <w:t>13</w:t>
            </w:r>
          </w:p>
        </w:tc>
        <w:tc>
          <w:tcPr>
            <w:tcW w:type="dxa" w:w="1344"/>
            <w:shd w:val="clear" w:color="auto" w:fill="EFF6FF"/>
          </w:tcPr>
          <w:p>
            <w:pPr>
              <w:jc w:val="center"/>
            </w:pPr>
            <w:r>
              <w:rPr>
                <w:sz w:val="18"/>
              </w:rPr>
              <w:t>13.1%</w:t>
            </w:r>
          </w:p>
        </w:tc>
        <w:tc>
          <w:tcPr>
            <w:tcW w:type="dxa" w:w="1344"/>
            <w:shd w:val="clear" w:color="auto" w:fill="EFF6FF"/>
          </w:tcPr>
          <w:p>
            <w:pPr>
              <w:jc w:val="center"/>
            </w:pPr>
            <w:r>
              <w:rPr>
                <w:sz w:val="18"/>
              </w:rPr>
              <w:t>$3,345</w:t>
            </w:r>
          </w:p>
        </w:tc>
        <w:tc>
          <w:tcPr>
            <w:tcW w:type="dxa" w:w="1344"/>
            <w:shd w:val="clear" w:color="auto" w:fill="EFF6FF"/>
          </w:tcPr>
          <w:p>
            <w:pPr>
              <w:jc w:val="center"/>
            </w:pPr>
            <w:r>
              <w:rPr>
                <w:sz w:val="18"/>
              </w:rPr>
              <w:t>2.7</w:t>
            </w:r>
          </w:p>
        </w:tc>
        <w:tc>
          <w:tcPr>
            <w:tcW w:type="dxa" w:w="1344"/>
            <w:shd w:val="clear" w:color="auto" w:fill="EFF6FF"/>
          </w:tcPr>
          <w:p>
            <w:pPr>
              <w:jc w:val="center"/>
            </w:pPr>
            <w:r>
              <w:rPr>
                <w:sz w:val="18"/>
              </w:rPr>
              <w:t>2.7</w:t>
            </w:r>
          </w:p>
        </w:tc>
      </w:tr>
      <w:tr>
        <w:tc>
          <w:tcPr>
            <w:tcW w:type="dxa" w:w="1344"/>
            <w:shd w:val="clear" w:color="auto" w:fill="FFFFFF"/>
          </w:tcPr>
          <w:p>
            <w:pPr>
              <w:jc w:val="center"/>
            </w:pPr>
            <w:r>
              <w:rPr>
                <w:sz w:val="18"/>
              </w:rPr>
              <w:t>Healthcare Representative</w:t>
            </w:r>
          </w:p>
        </w:tc>
        <w:tc>
          <w:tcPr>
            <w:tcW w:type="dxa" w:w="1344"/>
            <w:shd w:val="clear" w:color="auto" w:fill="FFFFFF"/>
          </w:tcPr>
          <w:p>
            <w:pPr>
              <w:jc w:val="center"/>
            </w:pPr>
            <w:r>
              <w:rPr>
                <w:sz w:val="18"/>
              </w:rPr>
              <w:t>40</w:t>
            </w:r>
          </w:p>
        </w:tc>
        <w:tc>
          <w:tcPr>
            <w:tcW w:type="dxa" w:w="1344"/>
            <w:shd w:val="clear" w:color="auto" w:fill="FFFFFF"/>
          </w:tcPr>
          <w:p>
            <w:pPr>
              <w:jc w:val="center"/>
            </w:pPr>
            <w:r>
              <w:rPr>
                <w:sz w:val="18"/>
              </w:rPr>
              <w:t>3</w:t>
            </w:r>
          </w:p>
        </w:tc>
        <w:tc>
          <w:tcPr>
            <w:tcW w:type="dxa" w:w="1344"/>
            <w:shd w:val="clear" w:color="auto" w:fill="FFFFFF"/>
          </w:tcPr>
          <w:p>
            <w:pPr>
              <w:jc w:val="center"/>
            </w:pPr>
            <w:r>
              <w:rPr>
                <w:sz w:val="18"/>
              </w:rPr>
              <w:t>7.5%</w:t>
            </w:r>
          </w:p>
        </w:tc>
        <w:tc>
          <w:tcPr>
            <w:tcW w:type="dxa" w:w="1344"/>
            <w:shd w:val="clear" w:color="auto" w:fill="FFFFFF"/>
          </w:tcPr>
          <w:p>
            <w:pPr>
              <w:jc w:val="center"/>
            </w:pPr>
            <w:r>
              <w:rPr>
                <w:sz w:val="18"/>
              </w:rPr>
              <w:t>$8,150</w:t>
            </w:r>
          </w:p>
        </w:tc>
        <w:tc>
          <w:tcPr>
            <w:tcW w:type="dxa" w:w="1344"/>
            <w:shd w:val="clear" w:color="auto" w:fill="FFFFFF"/>
          </w:tcPr>
          <w:p>
            <w:pPr>
              <w:jc w:val="center"/>
            </w:pPr>
            <w:r>
              <w:rPr>
                <w:sz w:val="18"/>
              </w:rPr>
              <w:t>2.8</w:t>
            </w:r>
          </w:p>
        </w:tc>
        <w:tc>
          <w:tcPr>
            <w:tcW w:type="dxa" w:w="1344"/>
            <w:shd w:val="clear" w:color="auto" w:fill="FFFFFF"/>
          </w:tcPr>
          <w:p>
            <w:pPr>
              <w:jc w:val="center"/>
            </w:pPr>
            <w:r>
              <w:rPr>
                <w:sz w:val="18"/>
              </w:rPr>
              <w:t>2.8</w:t>
            </w:r>
          </w:p>
        </w:tc>
      </w:tr>
      <w:tr>
        <w:tc>
          <w:tcPr>
            <w:tcW w:type="dxa" w:w="1344"/>
            <w:shd w:val="clear" w:color="auto" w:fill="EFF6FF"/>
          </w:tcPr>
          <w:p>
            <w:pPr>
              <w:jc w:val="center"/>
            </w:pPr>
            <w:r>
              <w:rPr>
                <w:sz w:val="18"/>
              </w:rPr>
              <w:t>Manufacturing Director</w:t>
            </w:r>
          </w:p>
        </w:tc>
        <w:tc>
          <w:tcPr>
            <w:tcW w:type="dxa" w:w="1344"/>
            <w:shd w:val="clear" w:color="auto" w:fill="EFF6FF"/>
          </w:tcPr>
          <w:p>
            <w:pPr>
              <w:jc w:val="center"/>
            </w:pPr>
            <w:r>
              <w:rPr>
                <w:sz w:val="18"/>
              </w:rPr>
              <w:t>48</w:t>
            </w:r>
          </w:p>
        </w:tc>
        <w:tc>
          <w:tcPr>
            <w:tcW w:type="dxa" w:w="1344"/>
            <w:shd w:val="clear" w:color="auto" w:fill="EFF6FF"/>
          </w:tcPr>
          <w:p>
            <w:pPr>
              <w:jc w:val="center"/>
            </w:pPr>
            <w:r>
              <w:rPr>
                <w:sz w:val="18"/>
              </w:rPr>
              <w:t>3</w:t>
            </w:r>
          </w:p>
        </w:tc>
        <w:tc>
          <w:tcPr>
            <w:tcW w:type="dxa" w:w="1344"/>
            <w:shd w:val="clear" w:color="auto" w:fill="EFF6FF"/>
          </w:tcPr>
          <w:p>
            <w:pPr>
              <w:jc w:val="center"/>
            </w:pPr>
            <w:r>
              <w:rPr>
                <w:sz w:val="18"/>
              </w:rPr>
              <w:t>6.2%</w:t>
            </w:r>
          </w:p>
        </w:tc>
        <w:tc>
          <w:tcPr>
            <w:tcW w:type="dxa" w:w="1344"/>
            <w:shd w:val="clear" w:color="auto" w:fill="EFF6FF"/>
          </w:tcPr>
          <w:p>
            <w:pPr>
              <w:jc w:val="center"/>
            </w:pPr>
            <w:r>
              <w:rPr>
                <w:sz w:val="18"/>
              </w:rPr>
              <w:t>$6,576</w:t>
            </w:r>
          </w:p>
        </w:tc>
        <w:tc>
          <w:tcPr>
            <w:tcW w:type="dxa" w:w="1344"/>
            <w:shd w:val="clear" w:color="auto" w:fill="EFF6FF"/>
          </w:tcPr>
          <w:p>
            <w:pPr>
              <w:jc w:val="center"/>
            </w:pPr>
            <w:r>
              <w:rPr>
                <w:sz w:val="18"/>
              </w:rPr>
              <w:t>2.8</w:t>
            </w:r>
          </w:p>
        </w:tc>
        <w:tc>
          <w:tcPr>
            <w:tcW w:type="dxa" w:w="1344"/>
            <w:shd w:val="clear" w:color="auto" w:fill="EFF6FF"/>
          </w:tcPr>
          <w:p>
            <w:pPr>
              <w:jc w:val="center"/>
            </w:pPr>
            <w:r>
              <w:rPr>
                <w:sz w:val="18"/>
              </w:rPr>
              <w:t>2.8</w:t>
            </w:r>
          </w:p>
        </w:tc>
      </w:tr>
      <w:tr>
        <w:tc>
          <w:tcPr>
            <w:tcW w:type="dxa" w:w="1344"/>
            <w:shd w:val="clear" w:color="auto" w:fill="FFFFFF"/>
          </w:tcPr>
          <w:p>
            <w:pPr>
              <w:jc w:val="center"/>
            </w:pPr>
            <w:r>
              <w:rPr>
                <w:sz w:val="18"/>
              </w:rPr>
              <w:t>Manager</w:t>
            </w:r>
          </w:p>
        </w:tc>
        <w:tc>
          <w:tcPr>
            <w:tcW w:type="dxa" w:w="1344"/>
            <w:shd w:val="clear" w:color="auto" w:fill="FFFFFF"/>
          </w:tcPr>
          <w:p>
            <w:pPr>
              <w:jc w:val="center"/>
            </w:pPr>
            <w:r>
              <w:rPr>
                <w:sz w:val="18"/>
              </w:rPr>
              <w:t>42</w:t>
            </w:r>
          </w:p>
        </w:tc>
        <w:tc>
          <w:tcPr>
            <w:tcW w:type="dxa" w:w="1344"/>
            <w:shd w:val="clear" w:color="auto" w:fill="FFFFFF"/>
          </w:tcPr>
          <w:p>
            <w:pPr>
              <w:jc w:val="center"/>
            </w:pPr>
            <w:r>
              <w:rPr>
                <w:sz w:val="18"/>
              </w:rPr>
              <w:t>2</w:t>
            </w:r>
          </w:p>
        </w:tc>
        <w:tc>
          <w:tcPr>
            <w:tcW w:type="dxa" w:w="1344"/>
            <w:shd w:val="clear" w:color="auto" w:fill="FFFFFF"/>
          </w:tcPr>
          <w:p>
            <w:pPr>
              <w:jc w:val="center"/>
            </w:pPr>
            <w:r>
              <w:rPr>
                <w:sz w:val="18"/>
              </w:rPr>
              <w:t>4.8%</w:t>
            </w:r>
          </w:p>
        </w:tc>
        <w:tc>
          <w:tcPr>
            <w:tcW w:type="dxa" w:w="1344"/>
            <w:shd w:val="clear" w:color="auto" w:fill="FFFFFF"/>
          </w:tcPr>
          <w:p>
            <w:pPr>
              <w:jc w:val="center"/>
            </w:pPr>
            <w:r>
              <w:rPr>
                <w:sz w:val="18"/>
              </w:rPr>
              <w:t>$16,714</w:t>
            </w:r>
          </w:p>
        </w:tc>
        <w:tc>
          <w:tcPr>
            <w:tcW w:type="dxa" w:w="1344"/>
            <w:shd w:val="clear" w:color="auto" w:fill="FFFFFF"/>
          </w:tcPr>
          <w:p>
            <w:pPr>
              <w:jc w:val="center"/>
            </w:pPr>
            <w:r>
              <w:rPr>
                <w:sz w:val="18"/>
              </w:rPr>
              <w:t>2.8</w:t>
            </w:r>
          </w:p>
        </w:tc>
        <w:tc>
          <w:tcPr>
            <w:tcW w:type="dxa" w:w="1344"/>
            <w:shd w:val="clear" w:color="auto" w:fill="FFFFFF"/>
          </w:tcPr>
          <w:p>
            <w:pPr>
              <w:jc w:val="center"/>
            </w:pPr>
            <w:r>
              <w:rPr>
                <w:sz w:val="18"/>
              </w:rPr>
              <w:t>2.7</w:t>
            </w:r>
          </w:p>
        </w:tc>
      </w:tr>
      <w:tr>
        <w:tc>
          <w:tcPr>
            <w:tcW w:type="dxa" w:w="1344"/>
            <w:shd w:val="clear" w:color="auto" w:fill="EFF6FF"/>
          </w:tcPr>
          <w:p>
            <w:pPr>
              <w:jc w:val="center"/>
            </w:pPr>
            <w:r>
              <w:rPr>
                <w:sz w:val="18"/>
              </w:rPr>
              <w:t>Research Director</w:t>
            </w:r>
          </w:p>
        </w:tc>
        <w:tc>
          <w:tcPr>
            <w:tcW w:type="dxa" w:w="1344"/>
            <w:shd w:val="clear" w:color="auto" w:fill="EFF6FF"/>
          </w:tcPr>
          <w:p>
            <w:pPr>
              <w:jc w:val="center"/>
            </w:pPr>
            <w:r>
              <w:rPr>
                <w:sz w:val="18"/>
              </w:rPr>
              <w:t>29</w:t>
            </w:r>
          </w:p>
        </w:tc>
        <w:tc>
          <w:tcPr>
            <w:tcW w:type="dxa" w:w="1344"/>
            <w:shd w:val="clear" w:color="auto" w:fill="EFF6FF"/>
          </w:tcPr>
          <w:p>
            <w:pPr>
              <w:jc w:val="center"/>
            </w:pPr>
            <w:r>
              <w:rPr>
                <w:sz w:val="18"/>
              </w:rPr>
              <w:t>1</w:t>
            </w:r>
          </w:p>
        </w:tc>
        <w:tc>
          <w:tcPr>
            <w:tcW w:type="dxa" w:w="1344"/>
            <w:shd w:val="clear" w:color="auto" w:fill="EFF6FF"/>
          </w:tcPr>
          <w:p>
            <w:pPr>
              <w:jc w:val="center"/>
            </w:pPr>
            <w:r>
              <w:rPr>
                <w:sz w:val="18"/>
              </w:rPr>
              <w:t>3.4%</w:t>
            </w:r>
          </w:p>
        </w:tc>
        <w:tc>
          <w:tcPr>
            <w:tcW w:type="dxa" w:w="1344"/>
            <w:shd w:val="clear" w:color="auto" w:fill="EFF6FF"/>
          </w:tcPr>
          <w:p>
            <w:pPr>
              <w:jc w:val="center"/>
            </w:pPr>
            <w:r>
              <w:rPr>
                <w:sz w:val="18"/>
              </w:rPr>
              <w:t>$15,901</w:t>
            </w:r>
          </w:p>
        </w:tc>
        <w:tc>
          <w:tcPr>
            <w:tcW w:type="dxa" w:w="1344"/>
            <w:shd w:val="clear" w:color="auto" w:fill="EFF6FF"/>
          </w:tcPr>
          <w:p>
            <w:pPr>
              <w:jc w:val="center"/>
            </w:pPr>
            <w:r>
              <w:rPr>
                <w:sz w:val="18"/>
              </w:rPr>
              <w:t>2.8</w:t>
            </w:r>
          </w:p>
        </w:tc>
        <w:tc>
          <w:tcPr>
            <w:tcW w:type="dxa" w:w="1344"/>
            <w:shd w:val="clear" w:color="auto" w:fill="EFF6FF"/>
          </w:tcPr>
          <w:p>
            <w:pPr>
              <w:jc w:val="center"/>
            </w:pPr>
            <w:r>
              <w:rPr>
                <w:sz w:val="18"/>
              </w:rPr>
              <w:t>2.7</w:t>
            </w:r>
          </w:p>
        </w:tc>
      </w:tr>
    </w:tbl>
    <w:p/>
    <w:p>
      <w:pPr>
        <w:pStyle w:val="Heading1"/>
        <w:spacing w:before="280" w:after="120"/>
      </w:pPr>
      <w:r>
        <w:rPr>
          <w:b/>
          <w:color w:val="1E3A5F"/>
          <w:sz w:val="32"/>
        </w:rPr>
        <w:t>7. Analysis 4 – OverTime Impact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jc w:val="center"/>
            </w:pPr>
            <w:r>
              <w:rPr>
                <w:b/>
                <w:color w:val="FFFFFF"/>
                <w:sz w:val="18"/>
              </w:rPr>
              <w:t>OverTime</w:t>
            </w:r>
          </w:p>
        </w:tc>
        <w:tc>
          <w:tcPr>
            <w:tcW w:type="dxa" w:w="1568"/>
            <w:shd w:val="clear" w:color="auto" w:fill="1E3A5F"/>
          </w:tcPr>
          <w:p>
            <w:pPr>
              <w:jc w:val="center"/>
            </w:pPr>
            <w:r>
              <w:rPr>
                <w:b/>
                <w:color w:val="FFFFFF"/>
                <w:sz w:val="18"/>
              </w:rPr>
              <w:t>Total</w:t>
            </w:r>
          </w:p>
        </w:tc>
        <w:tc>
          <w:tcPr>
            <w:tcW w:type="dxa" w:w="1568"/>
            <w:shd w:val="clear" w:color="auto" w:fill="1E3A5F"/>
          </w:tcPr>
          <w:p>
            <w:pPr>
              <w:jc w:val="center"/>
            </w:pPr>
            <w:r>
              <w:rPr>
                <w:b/>
                <w:color w:val="FFFFFF"/>
                <w:sz w:val="18"/>
              </w:rPr>
              <w:t>Attrited</w:t>
            </w:r>
          </w:p>
        </w:tc>
        <w:tc>
          <w:tcPr>
            <w:tcW w:type="dxa" w:w="1568"/>
            <w:shd w:val="clear" w:color="auto" w:fill="1E3A5F"/>
          </w:tcPr>
          <w:p>
            <w:pPr>
              <w:jc w:val="center"/>
            </w:pPr>
            <w:r>
              <w:rPr>
                <w:b/>
                <w:color w:val="FFFFFF"/>
                <w:sz w:val="18"/>
              </w:rPr>
              <w:t>AvgIncome</w:t>
            </w:r>
          </w:p>
        </w:tc>
        <w:tc>
          <w:tcPr>
            <w:tcW w:type="dxa" w:w="1568"/>
            <w:shd w:val="clear" w:color="auto" w:fill="1E3A5F"/>
          </w:tcPr>
          <w:p>
            <w:pPr>
              <w:jc w:val="center"/>
            </w:pPr>
            <w:r>
              <w:rPr>
                <w:b/>
                <w:color w:val="FFFFFF"/>
                <w:sz w:val="18"/>
              </w:rPr>
              <w:t>AvgSatisfaction</w:t>
            </w:r>
          </w:p>
        </w:tc>
        <w:tc>
          <w:tcPr>
            <w:tcW w:type="dxa" w:w="1568"/>
            <w:shd w:val="clear" w:color="auto" w:fill="1E3A5F"/>
          </w:tcPr>
          <w:p>
            <w:pPr>
              <w:jc w:val="center"/>
            </w:pPr>
            <w:r>
              <w:rPr>
                <w:b/>
                <w:color w:val="FFFFFF"/>
                <w:sz w:val="18"/>
              </w:rPr>
              <w:t>AttritionRate%</w:t>
            </w:r>
          </w:p>
        </w:tc>
      </w:tr>
      <w:tr>
        <w:tc>
          <w:tcPr>
            <w:tcW w:type="dxa" w:w="1568"/>
            <w:shd w:val="clear" w:color="auto" w:fill="EFF6FF"/>
          </w:tcPr>
          <w:p>
            <w:pPr>
              <w:jc w:val="center"/>
            </w:pPr>
            <w:r>
              <w:rPr>
                <w:sz w:val="18"/>
              </w:rPr>
              <w:t>No</w:t>
            </w:r>
          </w:p>
        </w:tc>
        <w:tc>
          <w:tcPr>
            <w:tcW w:type="dxa" w:w="1568"/>
            <w:shd w:val="clear" w:color="auto" w:fill="EFF6FF"/>
          </w:tcPr>
          <w:p>
            <w:pPr>
              <w:jc w:val="center"/>
            </w:pPr>
            <w:r>
              <w:rPr>
                <w:sz w:val="18"/>
              </w:rPr>
              <w:t>356</w:t>
            </w:r>
          </w:p>
        </w:tc>
        <w:tc>
          <w:tcPr>
            <w:tcW w:type="dxa" w:w="1568"/>
            <w:shd w:val="clear" w:color="auto" w:fill="EFF6FF"/>
          </w:tcPr>
          <w:p>
            <w:pPr>
              <w:jc w:val="center"/>
            </w:pPr>
            <w:r>
              <w:rPr>
                <w:sz w:val="18"/>
              </w:rPr>
              <w:t>35</w:t>
            </w:r>
          </w:p>
        </w:tc>
        <w:tc>
          <w:tcPr>
            <w:tcW w:type="dxa" w:w="1568"/>
            <w:shd w:val="clear" w:color="auto" w:fill="EFF6FF"/>
          </w:tcPr>
          <w:p>
            <w:pPr>
              <w:jc w:val="center"/>
            </w:pPr>
            <w:r>
              <w:rPr>
                <w:sz w:val="18"/>
              </w:rPr>
              <w:t>$6,549</w:t>
            </w:r>
          </w:p>
        </w:tc>
        <w:tc>
          <w:tcPr>
            <w:tcW w:type="dxa" w:w="1568"/>
            <w:shd w:val="clear" w:color="auto" w:fill="EFF6FF"/>
          </w:tcPr>
          <w:p>
            <w:pPr>
              <w:jc w:val="center"/>
            </w:pPr>
            <w:r>
              <w:rPr>
                <w:sz w:val="18"/>
              </w:rPr>
              <w:t>2.8</w:t>
            </w:r>
          </w:p>
        </w:tc>
        <w:tc>
          <w:tcPr>
            <w:tcW w:type="dxa" w:w="1568"/>
            <w:shd w:val="clear" w:color="auto" w:fill="EFF6FF"/>
          </w:tcPr>
          <w:p>
            <w:pPr>
              <w:jc w:val="center"/>
            </w:pPr>
            <w:r>
              <w:rPr>
                <w:sz w:val="18"/>
              </w:rPr>
              <w:t>9.8%</w:t>
            </w:r>
          </w:p>
        </w:tc>
      </w:tr>
      <w:tr>
        <w:tc>
          <w:tcPr>
            <w:tcW w:type="dxa" w:w="1568"/>
            <w:shd w:val="clear" w:color="auto" w:fill="FFFFFF"/>
          </w:tcPr>
          <w:p>
            <w:pPr>
              <w:jc w:val="center"/>
            </w:pPr>
            <w:r>
              <w:rPr>
                <w:sz w:val="18"/>
              </w:rPr>
              <w:t>Yes</w:t>
            </w:r>
          </w:p>
        </w:tc>
        <w:tc>
          <w:tcPr>
            <w:tcW w:type="dxa" w:w="1568"/>
            <w:shd w:val="clear" w:color="auto" w:fill="FFFFFF"/>
          </w:tcPr>
          <w:p>
            <w:pPr>
              <w:jc w:val="center"/>
            </w:pPr>
            <w:r>
              <w:rPr>
                <w:sz w:val="18"/>
              </w:rPr>
              <w:t>144</w:t>
            </w:r>
          </w:p>
        </w:tc>
        <w:tc>
          <w:tcPr>
            <w:tcW w:type="dxa" w:w="1568"/>
            <w:shd w:val="clear" w:color="auto" w:fill="FFFFFF"/>
          </w:tcPr>
          <w:p>
            <w:pPr>
              <w:jc w:val="center"/>
            </w:pPr>
            <w:r>
              <w:rPr>
                <w:sz w:val="18"/>
              </w:rPr>
              <w:t>43</w:t>
            </w:r>
          </w:p>
        </w:tc>
        <w:tc>
          <w:tcPr>
            <w:tcW w:type="dxa" w:w="1568"/>
            <w:shd w:val="clear" w:color="auto" w:fill="FFFFFF"/>
          </w:tcPr>
          <w:p>
            <w:pPr>
              <w:jc w:val="center"/>
            </w:pPr>
            <w:r>
              <w:rPr>
                <w:sz w:val="18"/>
              </w:rPr>
              <w:t>$6,722</w:t>
            </w:r>
          </w:p>
        </w:tc>
        <w:tc>
          <w:tcPr>
            <w:tcW w:type="dxa" w:w="1568"/>
            <w:shd w:val="clear" w:color="auto" w:fill="FFFFFF"/>
          </w:tcPr>
          <w:p>
            <w:pPr>
              <w:jc w:val="center"/>
            </w:pPr>
            <w:r>
              <w:rPr>
                <w:sz w:val="18"/>
              </w:rPr>
              <w:t>2.8</w:t>
            </w:r>
          </w:p>
        </w:tc>
        <w:tc>
          <w:tcPr>
            <w:tcW w:type="dxa" w:w="1568"/>
            <w:shd w:val="clear" w:color="auto" w:fill="FFFFFF"/>
          </w:tcPr>
          <w:p>
            <w:pPr>
              <w:jc w:val="center"/>
            </w:pPr>
            <w:r>
              <w:rPr>
                <w:sz w:val="18"/>
              </w:rPr>
              <w:t>29.9%</w:t>
            </w:r>
          </w:p>
        </w:tc>
      </w:tr>
    </w:tbl>
    <w:p/>
    <w:p>
      <w:pPr>
        <w:spacing w:after="120"/>
      </w:pPr>
      <w:r>
        <w:rPr>
          <w:b w:val="0"/>
          <w:i w:val="0"/>
          <w:sz w:val="22"/>
        </w:rPr>
        <w:t>Employees who work overtime show a significantly higher attrition rate. This underscores the need for overtime management policies.</w:t>
      </w:r>
    </w:p>
    <w:p>
      <w:pPr>
        <w:pStyle w:val="Heading1"/>
        <w:spacing w:before="280" w:after="120"/>
      </w:pPr>
      <w:r>
        <w:rPr>
          <w:b/>
          <w:color w:val="1E3A5F"/>
          <w:sz w:val="32"/>
        </w:rPr>
        <w:t>8. Analysis 5 – Age Group &amp; Tenure Trends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E3A5F"/>
          </w:tcPr>
          <w:p>
            <w:pPr>
              <w:jc w:val="center"/>
            </w:pPr>
            <w:r>
              <w:rPr>
                <w:b/>
                <w:color w:val="FFFFFF"/>
                <w:sz w:val="18"/>
              </w:rPr>
              <w:t>Attrition</w:t>
            </w:r>
          </w:p>
        </w:tc>
        <w:tc>
          <w:tcPr>
            <w:tcW w:type="dxa" w:w="2351"/>
            <w:shd w:val="clear" w:color="auto" w:fill="1E3A5F"/>
          </w:tcPr>
          <w:p>
            <w:pPr>
              <w:jc w:val="center"/>
            </w:pPr>
            <w:r>
              <w:rPr>
                <w:b/>
                <w:color w:val="FFFFFF"/>
                <w:sz w:val="18"/>
              </w:rPr>
              <w:t>AvgAge</w:t>
            </w:r>
          </w:p>
        </w:tc>
        <w:tc>
          <w:tcPr>
            <w:tcW w:type="dxa" w:w="2351"/>
            <w:shd w:val="clear" w:color="auto" w:fill="1E3A5F"/>
          </w:tcPr>
          <w:p>
            <w:pPr>
              <w:jc w:val="center"/>
            </w:pPr>
            <w:r>
              <w:rPr>
                <w:b/>
                <w:color w:val="FFFFFF"/>
                <w:sz w:val="18"/>
              </w:rPr>
              <w:t>AvgTenure</w:t>
            </w:r>
          </w:p>
        </w:tc>
        <w:tc>
          <w:tcPr>
            <w:tcW w:type="dxa" w:w="2351"/>
            <w:shd w:val="clear" w:color="auto" w:fill="1E3A5F"/>
          </w:tcPr>
          <w:p>
            <w:pPr>
              <w:jc w:val="center"/>
            </w:pPr>
            <w:r>
              <w:rPr>
                <w:b/>
                <w:color w:val="FFFFFF"/>
                <w:sz w:val="18"/>
              </w:rPr>
              <w:t>AvgTotalExp</w:t>
            </w:r>
          </w:p>
        </w:tc>
      </w:tr>
      <w:tr>
        <w:tc>
          <w:tcPr>
            <w:tcW w:type="dxa" w:w="2351"/>
            <w:shd w:val="clear" w:color="auto" w:fill="EFF6FF"/>
          </w:tcPr>
          <w:p>
            <w:pPr>
              <w:jc w:val="center"/>
            </w:pPr>
            <w:r>
              <w:rPr>
                <w:sz w:val="18"/>
              </w:rPr>
              <w:t>No</w:t>
            </w:r>
          </w:p>
        </w:tc>
        <w:tc>
          <w:tcPr>
            <w:tcW w:type="dxa" w:w="2351"/>
            <w:shd w:val="clear" w:color="auto" w:fill="EFF6FF"/>
          </w:tcPr>
          <w:p>
            <w:pPr>
              <w:jc w:val="center"/>
            </w:pPr>
            <w:r>
              <w:rPr>
                <w:sz w:val="18"/>
              </w:rPr>
              <w:t>37.75</w:t>
            </w:r>
          </w:p>
        </w:tc>
        <w:tc>
          <w:tcPr>
            <w:tcW w:type="dxa" w:w="2351"/>
            <w:shd w:val="clear" w:color="auto" w:fill="EFF6FF"/>
          </w:tcPr>
          <w:p>
            <w:pPr>
              <w:jc w:val="center"/>
            </w:pPr>
            <w:r>
              <w:rPr>
                <w:sz w:val="18"/>
              </w:rPr>
              <w:t>7.5</w:t>
            </w:r>
          </w:p>
        </w:tc>
        <w:tc>
          <w:tcPr>
            <w:tcW w:type="dxa" w:w="2351"/>
            <w:shd w:val="clear" w:color="auto" w:fill="EFF6FF"/>
          </w:tcPr>
          <w:p>
            <w:pPr>
              <w:jc w:val="center"/>
            </w:pPr>
            <w:r>
              <w:rPr>
                <w:sz w:val="18"/>
              </w:rPr>
              <w:t>12.13</w:t>
            </w:r>
          </w:p>
        </w:tc>
      </w:tr>
      <w:tr>
        <w:tc>
          <w:tcPr>
            <w:tcW w:type="dxa" w:w="2351"/>
            <w:shd w:val="clear" w:color="auto" w:fill="FFFFFF"/>
          </w:tcPr>
          <w:p>
            <w:pPr>
              <w:jc w:val="center"/>
            </w:pPr>
            <w:r>
              <w:rPr>
                <w:sz w:val="18"/>
              </w:rPr>
              <w:t>Yes</w:t>
            </w:r>
          </w:p>
        </w:tc>
        <w:tc>
          <w:tcPr>
            <w:tcW w:type="dxa" w:w="2351"/>
            <w:shd w:val="clear" w:color="auto" w:fill="FFFFFF"/>
          </w:tcPr>
          <w:p>
            <w:pPr>
              <w:jc w:val="center"/>
            </w:pPr>
            <w:r>
              <w:rPr>
                <w:sz w:val="18"/>
              </w:rPr>
              <w:t>32.28</w:t>
            </w:r>
          </w:p>
        </w:tc>
        <w:tc>
          <w:tcPr>
            <w:tcW w:type="dxa" w:w="2351"/>
            <w:shd w:val="clear" w:color="auto" w:fill="FFFFFF"/>
          </w:tcPr>
          <w:p>
            <w:pPr>
              <w:jc w:val="center"/>
            </w:pPr>
            <w:r>
              <w:rPr>
                <w:sz w:val="18"/>
              </w:rPr>
              <w:t>4.55</w:t>
            </w:r>
          </w:p>
        </w:tc>
        <w:tc>
          <w:tcPr>
            <w:tcW w:type="dxa" w:w="2351"/>
            <w:shd w:val="clear" w:color="auto" w:fill="FFFFFF"/>
          </w:tcPr>
          <w:p>
            <w:pPr>
              <w:jc w:val="center"/>
            </w:pPr>
            <w:r>
              <w:rPr>
                <w:sz w:val="18"/>
              </w:rPr>
              <w:t>7.85</w:t>
            </w:r>
          </w:p>
        </w:tc>
      </w:tr>
    </w:tbl>
    <w:p/>
    <w:p>
      <w:pPr>
        <w:spacing w:after="120"/>
      </w:pPr>
      <w:r>
        <w:rPr>
          <w:b w:val="0"/>
          <w:i w:val="0"/>
          <w:sz w:val="22"/>
        </w:rPr>
        <w:t>Younger employees (18–25) and those with short tenures are disproportionately represented in the attrition group, highlighting early-career retention as a priority.</w:t>
      </w:r>
    </w:p>
    <w:p>
      <w:pPr>
        <w:pStyle w:val="Heading1"/>
        <w:spacing w:before="280" w:after="120"/>
      </w:pPr>
      <w:r>
        <w:rPr>
          <w:b/>
          <w:color w:val="1E3A5F"/>
          <w:sz w:val="32"/>
        </w:rPr>
        <w:t>9. Analysis 6 – Job Satisfaction &amp; Work-Life Balance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E3A5F"/>
          </w:tcPr>
          <w:p>
            <w:pPr>
              <w:jc w:val="center"/>
            </w:pPr>
            <w:r>
              <w:rPr>
                <w:b/>
                <w:color w:val="FFFFFF"/>
                <w:sz w:val="18"/>
              </w:rPr>
              <w:t>JobSatisfaction</w:t>
            </w:r>
          </w:p>
        </w:tc>
        <w:tc>
          <w:tcPr>
            <w:tcW w:type="dxa" w:w="1881"/>
            <w:shd w:val="clear" w:color="auto" w:fill="1E3A5F"/>
          </w:tcPr>
          <w:p>
            <w:pPr>
              <w:jc w:val="center"/>
            </w:pPr>
            <w:r>
              <w:rPr>
                <w:b/>
                <w:color w:val="FFFFFF"/>
                <w:sz w:val="18"/>
              </w:rPr>
              <w:t>WorkLifeBalance</w:t>
            </w:r>
          </w:p>
        </w:tc>
        <w:tc>
          <w:tcPr>
            <w:tcW w:type="dxa" w:w="1881"/>
            <w:shd w:val="clear" w:color="auto" w:fill="1E3A5F"/>
          </w:tcPr>
          <w:p>
            <w:pPr>
              <w:jc w:val="center"/>
            </w:pPr>
            <w:r>
              <w:rPr>
                <w:b/>
                <w:color w:val="FFFFFF"/>
                <w:sz w:val="18"/>
              </w:rPr>
              <w:t>Total</w:t>
            </w:r>
          </w:p>
        </w:tc>
        <w:tc>
          <w:tcPr>
            <w:tcW w:type="dxa" w:w="1881"/>
            <w:shd w:val="clear" w:color="auto" w:fill="1E3A5F"/>
          </w:tcPr>
          <w:p>
            <w:pPr>
              <w:jc w:val="center"/>
            </w:pPr>
            <w:r>
              <w:rPr>
                <w:b/>
                <w:color w:val="FFFFFF"/>
                <w:sz w:val="18"/>
              </w:rPr>
              <w:t>Attrited</w:t>
            </w:r>
          </w:p>
        </w:tc>
        <w:tc>
          <w:tcPr>
            <w:tcW w:type="dxa" w:w="1881"/>
            <w:shd w:val="clear" w:color="auto" w:fill="1E3A5F"/>
          </w:tcPr>
          <w:p>
            <w:pPr>
              <w:jc w:val="center"/>
            </w:pPr>
            <w:r>
              <w:rPr>
                <w:b/>
                <w:color w:val="FFFFFF"/>
                <w:sz w:val="18"/>
              </w:rPr>
              <w:t>AttritionRate%</w:t>
            </w:r>
          </w:p>
        </w:tc>
      </w:tr>
      <w:tr>
        <w:tc>
          <w:tcPr>
            <w:tcW w:type="dxa" w:w="1881"/>
            <w:shd w:val="clear" w:color="auto" w:fill="EFF6FF"/>
          </w:tcPr>
          <w:p>
            <w:pPr>
              <w:jc w:val="center"/>
            </w:pPr>
            <w:r>
              <w:rPr>
                <w:sz w:val="18"/>
              </w:rPr>
              <w:t>1</w:t>
            </w:r>
          </w:p>
        </w:tc>
        <w:tc>
          <w:tcPr>
            <w:tcW w:type="dxa" w:w="1881"/>
            <w:shd w:val="clear" w:color="auto" w:fill="EFF6FF"/>
          </w:tcPr>
          <w:p>
            <w:pPr>
              <w:jc w:val="center"/>
            </w:pPr>
            <w:r>
              <w:rPr>
                <w:sz w:val="18"/>
              </w:rPr>
              <w:t>1</w:t>
            </w:r>
          </w:p>
        </w:tc>
        <w:tc>
          <w:tcPr>
            <w:tcW w:type="dxa" w:w="1881"/>
            <w:shd w:val="clear" w:color="auto" w:fill="EFF6FF"/>
          </w:tcPr>
          <w:p>
            <w:pPr>
              <w:jc w:val="center"/>
            </w:pPr>
            <w:r>
              <w:rPr>
                <w:sz w:val="18"/>
              </w:rPr>
              <w:t>4</w:t>
            </w:r>
          </w:p>
        </w:tc>
        <w:tc>
          <w:tcPr>
            <w:tcW w:type="dxa" w:w="1881"/>
            <w:shd w:val="clear" w:color="auto" w:fill="EFF6FF"/>
          </w:tcPr>
          <w:p>
            <w:pPr>
              <w:jc w:val="center"/>
            </w:pPr>
            <w:r>
              <w:rPr>
                <w:sz w:val="18"/>
              </w:rPr>
              <w:t>1</w:t>
            </w:r>
          </w:p>
        </w:tc>
        <w:tc>
          <w:tcPr>
            <w:tcW w:type="dxa" w:w="1881"/>
            <w:shd w:val="clear" w:color="auto" w:fill="EFF6FF"/>
          </w:tcPr>
          <w:p>
            <w:pPr>
              <w:jc w:val="center"/>
            </w:pPr>
            <w:r>
              <w:rPr>
                <w:sz w:val="18"/>
              </w:rPr>
              <w:t>25.0</w:t>
            </w:r>
          </w:p>
        </w:tc>
      </w:tr>
      <w:tr>
        <w:tc>
          <w:tcPr>
            <w:tcW w:type="dxa" w:w="1881"/>
            <w:shd w:val="clear" w:color="auto" w:fill="FFFFFF"/>
          </w:tcPr>
          <w:p>
            <w:pPr>
              <w:jc w:val="center"/>
            </w:pPr>
            <w:r>
              <w:rPr>
                <w:sz w:val="18"/>
              </w:rPr>
              <w:t>1</w:t>
            </w:r>
          </w:p>
        </w:tc>
        <w:tc>
          <w:tcPr>
            <w:tcW w:type="dxa" w:w="1881"/>
            <w:shd w:val="clear" w:color="auto" w:fill="FFFFFF"/>
          </w:tcPr>
          <w:p>
            <w:pPr>
              <w:jc w:val="center"/>
            </w:pPr>
            <w:r>
              <w:rPr>
                <w:sz w:val="18"/>
              </w:rPr>
              <w:t>2</w:t>
            </w:r>
          </w:p>
        </w:tc>
        <w:tc>
          <w:tcPr>
            <w:tcW w:type="dxa" w:w="1881"/>
            <w:shd w:val="clear" w:color="auto" w:fill="FFFFFF"/>
          </w:tcPr>
          <w:p>
            <w:pPr>
              <w:jc w:val="center"/>
            </w:pPr>
            <w:r>
              <w:rPr>
                <w:sz w:val="18"/>
              </w:rPr>
              <w:t>21</w:t>
            </w:r>
          </w:p>
        </w:tc>
        <w:tc>
          <w:tcPr>
            <w:tcW w:type="dxa" w:w="1881"/>
            <w:shd w:val="clear" w:color="auto" w:fill="FFFFFF"/>
          </w:tcPr>
          <w:p>
            <w:pPr>
              <w:jc w:val="center"/>
            </w:pPr>
            <w:r>
              <w:rPr>
                <w:sz w:val="18"/>
              </w:rPr>
              <w:t>2</w:t>
            </w:r>
          </w:p>
        </w:tc>
        <w:tc>
          <w:tcPr>
            <w:tcW w:type="dxa" w:w="1881"/>
            <w:shd w:val="clear" w:color="auto" w:fill="FFFFFF"/>
          </w:tcPr>
          <w:p>
            <w:pPr>
              <w:jc w:val="center"/>
            </w:pPr>
            <w:r>
              <w:rPr>
                <w:sz w:val="18"/>
              </w:rPr>
              <w:t>9.5</w:t>
            </w:r>
          </w:p>
        </w:tc>
      </w:tr>
      <w:tr>
        <w:tc>
          <w:tcPr>
            <w:tcW w:type="dxa" w:w="1881"/>
            <w:shd w:val="clear" w:color="auto" w:fill="EFF6FF"/>
          </w:tcPr>
          <w:p>
            <w:pPr>
              <w:jc w:val="center"/>
            </w:pPr>
            <w:r>
              <w:rPr>
                <w:sz w:val="18"/>
              </w:rPr>
              <w:t>1</w:t>
            </w:r>
          </w:p>
        </w:tc>
        <w:tc>
          <w:tcPr>
            <w:tcW w:type="dxa" w:w="1881"/>
            <w:shd w:val="clear" w:color="auto" w:fill="EFF6FF"/>
          </w:tcPr>
          <w:p>
            <w:pPr>
              <w:jc w:val="center"/>
            </w:pPr>
            <w:r>
              <w:rPr>
                <w:sz w:val="18"/>
              </w:rPr>
              <w:t>3</w:t>
            </w:r>
          </w:p>
        </w:tc>
        <w:tc>
          <w:tcPr>
            <w:tcW w:type="dxa" w:w="1881"/>
            <w:shd w:val="clear" w:color="auto" w:fill="EFF6FF"/>
          </w:tcPr>
          <w:p>
            <w:pPr>
              <w:jc w:val="center"/>
            </w:pPr>
            <w:r>
              <w:rPr>
                <w:sz w:val="18"/>
              </w:rPr>
              <w:t>52</w:t>
            </w:r>
          </w:p>
        </w:tc>
        <w:tc>
          <w:tcPr>
            <w:tcW w:type="dxa" w:w="1881"/>
            <w:shd w:val="clear" w:color="auto" w:fill="EFF6FF"/>
          </w:tcPr>
          <w:p>
            <w:pPr>
              <w:jc w:val="center"/>
            </w:pPr>
            <w:r>
              <w:rPr>
                <w:sz w:val="18"/>
              </w:rPr>
              <w:t>10</w:t>
            </w:r>
          </w:p>
        </w:tc>
        <w:tc>
          <w:tcPr>
            <w:tcW w:type="dxa" w:w="1881"/>
            <w:shd w:val="clear" w:color="auto" w:fill="EFF6FF"/>
          </w:tcPr>
          <w:p>
            <w:pPr>
              <w:jc w:val="center"/>
            </w:pPr>
            <w:r>
              <w:rPr>
                <w:sz w:val="18"/>
              </w:rPr>
              <w:t>19.2</w:t>
            </w:r>
          </w:p>
        </w:tc>
      </w:tr>
      <w:tr>
        <w:tc>
          <w:tcPr>
            <w:tcW w:type="dxa" w:w="1881"/>
            <w:shd w:val="clear" w:color="auto" w:fill="FFFFFF"/>
          </w:tcPr>
          <w:p>
            <w:pPr>
              <w:jc w:val="center"/>
            </w:pPr>
            <w:r>
              <w:rPr>
                <w:sz w:val="18"/>
              </w:rPr>
              <w:t>1</w:t>
            </w:r>
          </w:p>
        </w:tc>
        <w:tc>
          <w:tcPr>
            <w:tcW w:type="dxa" w:w="1881"/>
            <w:shd w:val="clear" w:color="auto" w:fill="FFFFFF"/>
          </w:tcPr>
          <w:p>
            <w:pPr>
              <w:jc w:val="center"/>
            </w:pPr>
            <w:r>
              <w:rPr>
                <w:sz w:val="18"/>
              </w:rPr>
              <w:t>4</w:t>
            </w:r>
          </w:p>
        </w:tc>
        <w:tc>
          <w:tcPr>
            <w:tcW w:type="dxa" w:w="1881"/>
            <w:shd w:val="clear" w:color="auto" w:fill="FFFFFF"/>
          </w:tcPr>
          <w:p>
            <w:pPr>
              <w:jc w:val="center"/>
            </w:pPr>
            <w:r>
              <w:rPr>
                <w:sz w:val="18"/>
              </w:rPr>
              <w:t>8</w:t>
            </w:r>
          </w:p>
        </w:tc>
        <w:tc>
          <w:tcPr>
            <w:tcW w:type="dxa" w:w="1881"/>
            <w:shd w:val="clear" w:color="auto" w:fill="FFFFFF"/>
          </w:tcPr>
          <w:p>
            <w:pPr>
              <w:jc w:val="center"/>
            </w:pPr>
            <w:r>
              <w:rPr>
                <w:sz w:val="18"/>
              </w:rPr>
              <w:t>4</w:t>
            </w:r>
          </w:p>
        </w:tc>
        <w:tc>
          <w:tcPr>
            <w:tcW w:type="dxa" w:w="1881"/>
            <w:shd w:val="clear" w:color="auto" w:fill="FFFFFF"/>
          </w:tcPr>
          <w:p>
            <w:pPr>
              <w:jc w:val="center"/>
            </w:pPr>
            <w:r>
              <w:rPr>
                <w:sz w:val="18"/>
              </w:rPr>
              <w:t>50.0</w:t>
            </w:r>
          </w:p>
        </w:tc>
      </w:tr>
      <w:tr>
        <w:tc>
          <w:tcPr>
            <w:tcW w:type="dxa" w:w="1881"/>
            <w:shd w:val="clear" w:color="auto" w:fill="EFF6FF"/>
          </w:tcPr>
          <w:p>
            <w:pPr>
              <w:jc w:val="center"/>
            </w:pPr>
            <w:r>
              <w:rPr>
                <w:sz w:val="18"/>
              </w:rPr>
              <w:t>2</w:t>
            </w:r>
          </w:p>
        </w:tc>
        <w:tc>
          <w:tcPr>
            <w:tcW w:type="dxa" w:w="1881"/>
            <w:shd w:val="clear" w:color="auto" w:fill="EFF6FF"/>
          </w:tcPr>
          <w:p>
            <w:pPr>
              <w:jc w:val="center"/>
            </w:pPr>
            <w:r>
              <w:rPr>
                <w:sz w:val="18"/>
              </w:rPr>
              <w:t>1</w:t>
            </w:r>
          </w:p>
        </w:tc>
        <w:tc>
          <w:tcPr>
            <w:tcW w:type="dxa" w:w="1881"/>
            <w:shd w:val="clear" w:color="auto" w:fill="EFF6FF"/>
          </w:tcPr>
          <w:p>
            <w:pPr>
              <w:jc w:val="center"/>
            </w:pPr>
            <w:r>
              <w:rPr>
                <w:sz w:val="18"/>
              </w:rPr>
              <w:t>5</w:t>
            </w:r>
          </w:p>
        </w:tc>
        <w:tc>
          <w:tcPr>
            <w:tcW w:type="dxa" w:w="1881"/>
            <w:shd w:val="clear" w:color="auto" w:fill="EFF6FF"/>
          </w:tcPr>
          <w:p>
            <w:pPr>
              <w:jc w:val="center"/>
            </w:pPr>
            <w:r>
              <w:rPr>
                <w:sz w:val="18"/>
              </w:rPr>
              <w:t>0</w:t>
            </w:r>
          </w:p>
        </w:tc>
        <w:tc>
          <w:tcPr>
            <w:tcW w:type="dxa" w:w="1881"/>
            <w:shd w:val="clear" w:color="auto" w:fill="EFF6FF"/>
          </w:tcPr>
          <w:p>
            <w:pPr>
              <w:jc w:val="center"/>
            </w:pPr>
            <w:r>
              <w:rPr>
                <w:sz w:val="18"/>
              </w:rPr>
              <w:t>0.0</w:t>
            </w:r>
          </w:p>
        </w:tc>
      </w:tr>
      <w:tr>
        <w:tc>
          <w:tcPr>
            <w:tcW w:type="dxa" w:w="1881"/>
            <w:shd w:val="clear" w:color="auto" w:fill="FFFFFF"/>
          </w:tcPr>
          <w:p>
            <w:pPr>
              <w:jc w:val="center"/>
            </w:pPr>
            <w:r>
              <w:rPr>
                <w:sz w:val="18"/>
              </w:rPr>
              <w:t>2</w:t>
            </w:r>
          </w:p>
        </w:tc>
        <w:tc>
          <w:tcPr>
            <w:tcW w:type="dxa" w:w="1881"/>
            <w:shd w:val="clear" w:color="auto" w:fill="FFFFFF"/>
          </w:tcPr>
          <w:p>
            <w:pPr>
              <w:jc w:val="center"/>
            </w:pPr>
            <w:r>
              <w:rPr>
                <w:sz w:val="18"/>
              </w:rPr>
              <w:t>2</w:t>
            </w:r>
          </w:p>
        </w:tc>
        <w:tc>
          <w:tcPr>
            <w:tcW w:type="dxa" w:w="1881"/>
            <w:shd w:val="clear" w:color="auto" w:fill="FFFFFF"/>
          </w:tcPr>
          <w:p>
            <w:pPr>
              <w:jc w:val="center"/>
            </w:pPr>
            <w:r>
              <w:rPr>
                <w:sz w:val="18"/>
              </w:rPr>
              <w:t>21</w:t>
            </w:r>
          </w:p>
        </w:tc>
        <w:tc>
          <w:tcPr>
            <w:tcW w:type="dxa" w:w="1881"/>
            <w:shd w:val="clear" w:color="auto" w:fill="FFFFFF"/>
          </w:tcPr>
          <w:p>
            <w:pPr>
              <w:jc w:val="center"/>
            </w:pPr>
            <w:r>
              <w:rPr>
                <w:sz w:val="18"/>
              </w:rPr>
              <w:t>3</w:t>
            </w:r>
          </w:p>
        </w:tc>
        <w:tc>
          <w:tcPr>
            <w:tcW w:type="dxa" w:w="1881"/>
            <w:shd w:val="clear" w:color="auto" w:fill="FFFFFF"/>
          </w:tcPr>
          <w:p>
            <w:pPr>
              <w:jc w:val="center"/>
            </w:pPr>
            <w:r>
              <w:rPr>
                <w:sz w:val="18"/>
              </w:rPr>
              <w:t>14.3</w:t>
            </w:r>
          </w:p>
        </w:tc>
      </w:tr>
      <w:tr>
        <w:tc>
          <w:tcPr>
            <w:tcW w:type="dxa" w:w="1881"/>
            <w:shd w:val="clear" w:color="auto" w:fill="EFF6FF"/>
          </w:tcPr>
          <w:p>
            <w:pPr>
              <w:jc w:val="center"/>
            </w:pPr>
            <w:r>
              <w:rPr>
                <w:sz w:val="18"/>
              </w:rPr>
              <w:t>2</w:t>
            </w:r>
          </w:p>
        </w:tc>
        <w:tc>
          <w:tcPr>
            <w:tcW w:type="dxa" w:w="1881"/>
            <w:shd w:val="clear" w:color="auto" w:fill="EFF6FF"/>
          </w:tcPr>
          <w:p>
            <w:pPr>
              <w:jc w:val="center"/>
            </w:pPr>
            <w:r>
              <w:rPr>
                <w:sz w:val="18"/>
              </w:rPr>
              <w:t>3</w:t>
            </w:r>
          </w:p>
        </w:tc>
        <w:tc>
          <w:tcPr>
            <w:tcW w:type="dxa" w:w="1881"/>
            <w:shd w:val="clear" w:color="auto" w:fill="EFF6FF"/>
          </w:tcPr>
          <w:p>
            <w:pPr>
              <w:jc w:val="center"/>
            </w:pPr>
            <w:r>
              <w:rPr>
                <w:sz w:val="18"/>
              </w:rPr>
              <w:t>58</w:t>
            </w:r>
          </w:p>
        </w:tc>
        <w:tc>
          <w:tcPr>
            <w:tcW w:type="dxa" w:w="1881"/>
            <w:shd w:val="clear" w:color="auto" w:fill="EFF6FF"/>
          </w:tcPr>
          <w:p>
            <w:pPr>
              <w:jc w:val="center"/>
            </w:pPr>
            <w:r>
              <w:rPr>
                <w:sz w:val="18"/>
              </w:rPr>
              <w:t>7</w:t>
            </w:r>
          </w:p>
        </w:tc>
        <w:tc>
          <w:tcPr>
            <w:tcW w:type="dxa" w:w="1881"/>
            <w:shd w:val="clear" w:color="auto" w:fill="EFF6FF"/>
          </w:tcPr>
          <w:p>
            <w:pPr>
              <w:jc w:val="center"/>
            </w:pPr>
            <w:r>
              <w:rPr>
                <w:sz w:val="18"/>
              </w:rPr>
              <w:t>12.1</w:t>
            </w:r>
          </w:p>
        </w:tc>
      </w:tr>
      <w:tr>
        <w:tc>
          <w:tcPr>
            <w:tcW w:type="dxa" w:w="1881"/>
            <w:shd w:val="clear" w:color="auto" w:fill="FFFFFF"/>
          </w:tcPr>
          <w:p>
            <w:pPr>
              <w:jc w:val="center"/>
            </w:pPr>
            <w:r>
              <w:rPr>
                <w:sz w:val="18"/>
              </w:rPr>
              <w:t>2</w:t>
            </w:r>
          </w:p>
        </w:tc>
        <w:tc>
          <w:tcPr>
            <w:tcW w:type="dxa" w:w="1881"/>
            <w:shd w:val="clear" w:color="auto" w:fill="FFFFFF"/>
          </w:tcPr>
          <w:p>
            <w:pPr>
              <w:jc w:val="center"/>
            </w:pPr>
            <w:r>
              <w:rPr>
                <w:sz w:val="18"/>
              </w:rPr>
              <w:t>4</w:t>
            </w:r>
          </w:p>
        </w:tc>
        <w:tc>
          <w:tcPr>
            <w:tcW w:type="dxa" w:w="1881"/>
            <w:shd w:val="clear" w:color="auto" w:fill="FFFFFF"/>
          </w:tcPr>
          <w:p>
            <w:pPr>
              <w:jc w:val="center"/>
            </w:pPr>
            <w:r>
              <w:rPr>
                <w:sz w:val="18"/>
              </w:rPr>
              <w:t>10</w:t>
            </w:r>
          </w:p>
        </w:tc>
        <w:tc>
          <w:tcPr>
            <w:tcW w:type="dxa" w:w="1881"/>
            <w:shd w:val="clear" w:color="auto" w:fill="FFFFFF"/>
          </w:tcPr>
          <w:p>
            <w:pPr>
              <w:jc w:val="center"/>
            </w:pPr>
            <w:r>
              <w:rPr>
                <w:sz w:val="18"/>
              </w:rPr>
              <w:t>2</w:t>
            </w:r>
          </w:p>
        </w:tc>
        <w:tc>
          <w:tcPr>
            <w:tcW w:type="dxa" w:w="1881"/>
            <w:shd w:val="clear" w:color="auto" w:fill="FFFFFF"/>
          </w:tcPr>
          <w:p>
            <w:pPr>
              <w:jc w:val="center"/>
            </w:pPr>
            <w:r>
              <w:rPr>
                <w:sz w:val="18"/>
              </w:rPr>
              <w:t>20.0</w:t>
            </w:r>
          </w:p>
        </w:tc>
      </w:tr>
      <w:tr>
        <w:tc>
          <w:tcPr>
            <w:tcW w:type="dxa" w:w="1881"/>
            <w:shd w:val="clear" w:color="auto" w:fill="EFF6FF"/>
          </w:tcPr>
          <w:p>
            <w:pPr>
              <w:jc w:val="center"/>
            </w:pPr>
            <w:r>
              <w:rPr>
                <w:sz w:val="18"/>
              </w:rPr>
              <w:t>3</w:t>
            </w:r>
          </w:p>
        </w:tc>
        <w:tc>
          <w:tcPr>
            <w:tcW w:type="dxa" w:w="1881"/>
            <w:shd w:val="clear" w:color="auto" w:fill="EFF6FF"/>
          </w:tcPr>
          <w:p>
            <w:pPr>
              <w:jc w:val="center"/>
            </w:pPr>
            <w:r>
              <w:rPr>
                <w:sz w:val="18"/>
              </w:rPr>
              <w:t>1</w:t>
            </w:r>
          </w:p>
        </w:tc>
        <w:tc>
          <w:tcPr>
            <w:tcW w:type="dxa" w:w="1881"/>
            <w:shd w:val="clear" w:color="auto" w:fill="EFF6FF"/>
          </w:tcPr>
          <w:p>
            <w:pPr>
              <w:jc w:val="center"/>
            </w:pPr>
            <w:r>
              <w:rPr>
                <w:sz w:val="18"/>
              </w:rPr>
              <w:t>7</w:t>
            </w:r>
          </w:p>
        </w:tc>
        <w:tc>
          <w:tcPr>
            <w:tcW w:type="dxa" w:w="1881"/>
            <w:shd w:val="clear" w:color="auto" w:fill="EFF6FF"/>
          </w:tcPr>
          <w:p>
            <w:pPr>
              <w:jc w:val="center"/>
            </w:pPr>
            <w:r>
              <w:rPr>
                <w:sz w:val="18"/>
              </w:rPr>
              <w:t>3</w:t>
            </w:r>
          </w:p>
        </w:tc>
        <w:tc>
          <w:tcPr>
            <w:tcW w:type="dxa" w:w="1881"/>
            <w:shd w:val="clear" w:color="auto" w:fill="EFF6FF"/>
          </w:tcPr>
          <w:p>
            <w:pPr>
              <w:jc w:val="center"/>
            </w:pPr>
            <w:r>
              <w:rPr>
                <w:sz w:val="18"/>
              </w:rPr>
              <w:t>42.9</w:t>
            </w:r>
          </w:p>
        </w:tc>
      </w:tr>
      <w:tr>
        <w:tc>
          <w:tcPr>
            <w:tcW w:type="dxa" w:w="1881"/>
            <w:shd w:val="clear" w:color="auto" w:fill="FFFFFF"/>
          </w:tcPr>
          <w:p>
            <w:pPr>
              <w:jc w:val="center"/>
            </w:pPr>
            <w:r>
              <w:rPr>
                <w:sz w:val="18"/>
              </w:rPr>
              <w:t>3</w:t>
            </w:r>
          </w:p>
        </w:tc>
        <w:tc>
          <w:tcPr>
            <w:tcW w:type="dxa" w:w="1881"/>
            <w:shd w:val="clear" w:color="auto" w:fill="FFFFFF"/>
          </w:tcPr>
          <w:p>
            <w:pPr>
              <w:jc w:val="center"/>
            </w:pPr>
            <w:r>
              <w:rPr>
                <w:sz w:val="18"/>
              </w:rPr>
              <w:t>2</w:t>
            </w:r>
          </w:p>
        </w:tc>
        <w:tc>
          <w:tcPr>
            <w:tcW w:type="dxa" w:w="1881"/>
            <w:shd w:val="clear" w:color="auto" w:fill="FFFFFF"/>
          </w:tcPr>
          <w:p>
            <w:pPr>
              <w:jc w:val="center"/>
            </w:pPr>
            <w:r>
              <w:rPr>
                <w:sz w:val="18"/>
              </w:rPr>
              <w:t>33</w:t>
            </w:r>
          </w:p>
        </w:tc>
        <w:tc>
          <w:tcPr>
            <w:tcW w:type="dxa" w:w="1881"/>
            <w:shd w:val="clear" w:color="auto" w:fill="FFFFFF"/>
          </w:tcPr>
          <w:p>
            <w:pPr>
              <w:jc w:val="center"/>
            </w:pPr>
            <w:r>
              <w:rPr>
                <w:sz w:val="18"/>
              </w:rPr>
              <w:t>9</w:t>
            </w:r>
          </w:p>
        </w:tc>
        <w:tc>
          <w:tcPr>
            <w:tcW w:type="dxa" w:w="1881"/>
            <w:shd w:val="clear" w:color="auto" w:fill="FFFFFF"/>
          </w:tcPr>
          <w:p>
            <w:pPr>
              <w:jc w:val="center"/>
            </w:pPr>
            <w:r>
              <w:rPr>
                <w:sz w:val="18"/>
              </w:rPr>
              <w:t>27.3</w:t>
            </w:r>
          </w:p>
        </w:tc>
      </w:tr>
      <w:tr>
        <w:tc>
          <w:tcPr>
            <w:tcW w:type="dxa" w:w="1881"/>
            <w:shd w:val="clear" w:color="auto" w:fill="EFF6FF"/>
          </w:tcPr>
          <w:p>
            <w:pPr>
              <w:jc w:val="center"/>
            </w:pPr>
            <w:r>
              <w:rPr>
                <w:sz w:val="18"/>
              </w:rPr>
              <w:t>3</w:t>
            </w:r>
          </w:p>
        </w:tc>
        <w:tc>
          <w:tcPr>
            <w:tcW w:type="dxa" w:w="1881"/>
            <w:shd w:val="clear" w:color="auto" w:fill="EFF6FF"/>
          </w:tcPr>
          <w:p>
            <w:pPr>
              <w:jc w:val="center"/>
            </w:pPr>
            <w:r>
              <w:rPr>
                <w:sz w:val="18"/>
              </w:rPr>
              <w:t>3</w:t>
            </w:r>
          </w:p>
        </w:tc>
        <w:tc>
          <w:tcPr>
            <w:tcW w:type="dxa" w:w="1881"/>
            <w:shd w:val="clear" w:color="auto" w:fill="EFF6FF"/>
          </w:tcPr>
          <w:p>
            <w:pPr>
              <w:jc w:val="center"/>
            </w:pPr>
            <w:r>
              <w:rPr>
                <w:sz w:val="18"/>
              </w:rPr>
              <w:t>101</w:t>
            </w:r>
          </w:p>
        </w:tc>
        <w:tc>
          <w:tcPr>
            <w:tcW w:type="dxa" w:w="1881"/>
            <w:shd w:val="clear" w:color="auto" w:fill="EFF6FF"/>
          </w:tcPr>
          <w:p>
            <w:pPr>
              <w:jc w:val="center"/>
            </w:pPr>
            <w:r>
              <w:rPr>
                <w:sz w:val="18"/>
              </w:rPr>
              <w:t>17</w:t>
            </w:r>
          </w:p>
        </w:tc>
        <w:tc>
          <w:tcPr>
            <w:tcW w:type="dxa" w:w="1881"/>
            <w:shd w:val="clear" w:color="auto" w:fill="EFF6FF"/>
          </w:tcPr>
          <w:p>
            <w:pPr>
              <w:jc w:val="center"/>
            </w:pPr>
            <w:r>
              <w:rPr>
                <w:sz w:val="18"/>
              </w:rPr>
              <w:t>16.8</w:t>
            </w:r>
          </w:p>
        </w:tc>
      </w:tr>
      <w:tr>
        <w:tc>
          <w:tcPr>
            <w:tcW w:type="dxa" w:w="1881"/>
            <w:shd w:val="clear" w:color="auto" w:fill="FFFFFF"/>
          </w:tcPr>
          <w:p>
            <w:pPr>
              <w:jc w:val="center"/>
            </w:pPr>
            <w:r>
              <w:rPr>
                <w:sz w:val="18"/>
              </w:rPr>
              <w:t>3</w:t>
            </w:r>
          </w:p>
        </w:tc>
        <w:tc>
          <w:tcPr>
            <w:tcW w:type="dxa" w:w="1881"/>
            <w:shd w:val="clear" w:color="auto" w:fill="FFFFFF"/>
          </w:tcPr>
          <w:p>
            <w:pPr>
              <w:jc w:val="center"/>
            </w:pPr>
            <w:r>
              <w:rPr>
                <w:sz w:val="18"/>
              </w:rPr>
              <w:t>4</w:t>
            </w:r>
          </w:p>
        </w:tc>
        <w:tc>
          <w:tcPr>
            <w:tcW w:type="dxa" w:w="1881"/>
            <w:shd w:val="clear" w:color="auto" w:fill="FFFFFF"/>
          </w:tcPr>
          <w:p>
            <w:pPr>
              <w:jc w:val="center"/>
            </w:pPr>
            <w:r>
              <w:rPr>
                <w:sz w:val="18"/>
              </w:rPr>
              <w:t>14</w:t>
            </w:r>
          </w:p>
        </w:tc>
        <w:tc>
          <w:tcPr>
            <w:tcW w:type="dxa" w:w="1881"/>
            <w:shd w:val="clear" w:color="auto" w:fill="FFFFFF"/>
          </w:tcPr>
          <w:p>
            <w:pPr>
              <w:jc w:val="center"/>
            </w:pPr>
            <w:r>
              <w:rPr>
                <w:sz w:val="18"/>
              </w:rPr>
              <w:t>1</w:t>
            </w:r>
          </w:p>
        </w:tc>
        <w:tc>
          <w:tcPr>
            <w:tcW w:type="dxa" w:w="1881"/>
            <w:shd w:val="clear" w:color="auto" w:fill="FFFFFF"/>
          </w:tcPr>
          <w:p>
            <w:pPr>
              <w:jc w:val="center"/>
            </w:pPr>
            <w:r>
              <w:rPr>
                <w:sz w:val="18"/>
              </w:rPr>
              <w:t>7.1</w:t>
            </w:r>
          </w:p>
        </w:tc>
      </w:tr>
      <w:tr>
        <w:tc>
          <w:tcPr>
            <w:tcW w:type="dxa" w:w="1881"/>
            <w:shd w:val="clear" w:color="auto" w:fill="EFF6FF"/>
          </w:tcPr>
          <w:p>
            <w:pPr>
              <w:jc w:val="center"/>
            </w:pPr>
            <w:r>
              <w:rPr>
                <w:sz w:val="18"/>
              </w:rPr>
              <w:t>4</w:t>
            </w:r>
          </w:p>
        </w:tc>
        <w:tc>
          <w:tcPr>
            <w:tcW w:type="dxa" w:w="1881"/>
            <w:shd w:val="clear" w:color="auto" w:fill="EFF6FF"/>
          </w:tcPr>
          <w:p>
            <w:pPr>
              <w:jc w:val="center"/>
            </w:pPr>
            <w:r>
              <w:rPr>
                <w:sz w:val="18"/>
              </w:rPr>
              <w:t>1</w:t>
            </w:r>
          </w:p>
        </w:tc>
        <w:tc>
          <w:tcPr>
            <w:tcW w:type="dxa" w:w="1881"/>
            <w:shd w:val="clear" w:color="auto" w:fill="EFF6FF"/>
          </w:tcPr>
          <w:p>
            <w:pPr>
              <w:jc w:val="center"/>
            </w:pPr>
            <w:r>
              <w:rPr>
                <w:sz w:val="18"/>
              </w:rPr>
              <w:t>13</w:t>
            </w:r>
          </w:p>
        </w:tc>
        <w:tc>
          <w:tcPr>
            <w:tcW w:type="dxa" w:w="1881"/>
            <w:shd w:val="clear" w:color="auto" w:fill="EFF6FF"/>
          </w:tcPr>
          <w:p>
            <w:pPr>
              <w:jc w:val="center"/>
            </w:pPr>
            <w:r>
              <w:rPr>
                <w:sz w:val="18"/>
              </w:rPr>
              <w:t>3</w:t>
            </w:r>
          </w:p>
        </w:tc>
        <w:tc>
          <w:tcPr>
            <w:tcW w:type="dxa" w:w="1881"/>
            <w:shd w:val="clear" w:color="auto" w:fill="EFF6FF"/>
          </w:tcPr>
          <w:p>
            <w:pPr>
              <w:jc w:val="center"/>
            </w:pPr>
            <w:r>
              <w:rPr>
                <w:sz w:val="18"/>
              </w:rPr>
              <w:t>23.1</w:t>
            </w:r>
          </w:p>
        </w:tc>
      </w:tr>
      <w:tr>
        <w:tc>
          <w:tcPr>
            <w:tcW w:type="dxa" w:w="1881"/>
            <w:shd w:val="clear" w:color="auto" w:fill="FFFFFF"/>
          </w:tcPr>
          <w:p>
            <w:pPr>
              <w:jc w:val="center"/>
            </w:pPr>
            <w:r>
              <w:rPr>
                <w:sz w:val="18"/>
              </w:rPr>
              <w:t>4</w:t>
            </w:r>
          </w:p>
        </w:tc>
        <w:tc>
          <w:tcPr>
            <w:tcW w:type="dxa" w:w="1881"/>
            <w:shd w:val="clear" w:color="auto" w:fill="FFFFFF"/>
          </w:tcPr>
          <w:p>
            <w:pPr>
              <w:jc w:val="center"/>
            </w:pPr>
            <w:r>
              <w:rPr>
                <w:sz w:val="18"/>
              </w:rPr>
              <w:t>2</w:t>
            </w:r>
          </w:p>
        </w:tc>
        <w:tc>
          <w:tcPr>
            <w:tcW w:type="dxa" w:w="1881"/>
            <w:shd w:val="clear" w:color="auto" w:fill="FFFFFF"/>
          </w:tcPr>
          <w:p>
            <w:pPr>
              <w:jc w:val="center"/>
            </w:pPr>
            <w:r>
              <w:rPr>
                <w:sz w:val="18"/>
              </w:rPr>
              <w:t>39</w:t>
            </w:r>
          </w:p>
        </w:tc>
        <w:tc>
          <w:tcPr>
            <w:tcW w:type="dxa" w:w="1881"/>
            <w:shd w:val="clear" w:color="auto" w:fill="FFFFFF"/>
          </w:tcPr>
          <w:p>
            <w:pPr>
              <w:jc w:val="center"/>
            </w:pPr>
            <w:r>
              <w:rPr>
                <w:sz w:val="18"/>
              </w:rPr>
              <w:t>8</w:t>
            </w:r>
          </w:p>
        </w:tc>
        <w:tc>
          <w:tcPr>
            <w:tcW w:type="dxa" w:w="1881"/>
            <w:shd w:val="clear" w:color="auto" w:fill="FFFFFF"/>
          </w:tcPr>
          <w:p>
            <w:pPr>
              <w:jc w:val="center"/>
            </w:pPr>
            <w:r>
              <w:rPr>
                <w:sz w:val="18"/>
              </w:rPr>
              <w:t>20.5</w:t>
            </w:r>
          </w:p>
        </w:tc>
      </w:tr>
      <w:tr>
        <w:tc>
          <w:tcPr>
            <w:tcW w:type="dxa" w:w="1881"/>
            <w:shd w:val="clear" w:color="auto" w:fill="EFF6FF"/>
          </w:tcPr>
          <w:p>
            <w:pPr>
              <w:jc w:val="center"/>
            </w:pPr>
            <w:r>
              <w:rPr>
                <w:sz w:val="18"/>
              </w:rPr>
              <w:t>4</w:t>
            </w:r>
          </w:p>
        </w:tc>
        <w:tc>
          <w:tcPr>
            <w:tcW w:type="dxa" w:w="1881"/>
            <w:shd w:val="clear" w:color="auto" w:fill="EFF6FF"/>
          </w:tcPr>
          <w:p>
            <w:pPr>
              <w:jc w:val="center"/>
            </w:pPr>
            <w:r>
              <w:rPr>
                <w:sz w:val="18"/>
              </w:rPr>
              <w:t>3</w:t>
            </w:r>
          </w:p>
        </w:tc>
        <w:tc>
          <w:tcPr>
            <w:tcW w:type="dxa" w:w="1881"/>
            <w:shd w:val="clear" w:color="auto" w:fill="EFF6FF"/>
          </w:tcPr>
          <w:p>
            <w:pPr>
              <w:jc w:val="center"/>
            </w:pPr>
            <w:r>
              <w:rPr>
                <w:sz w:val="18"/>
              </w:rPr>
              <w:t>97</w:t>
            </w:r>
          </w:p>
        </w:tc>
        <w:tc>
          <w:tcPr>
            <w:tcW w:type="dxa" w:w="1881"/>
            <w:shd w:val="clear" w:color="auto" w:fill="EFF6FF"/>
          </w:tcPr>
          <w:p>
            <w:pPr>
              <w:jc w:val="center"/>
            </w:pPr>
            <w:r>
              <w:rPr>
                <w:sz w:val="18"/>
              </w:rPr>
              <w:t>6</w:t>
            </w:r>
          </w:p>
        </w:tc>
        <w:tc>
          <w:tcPr>
            <w:tcW w:type="dxa" w:w="1881"/>
            <w:shd w:val="clear" w:color="auto" w:fill="EFF6FF"/>
          </w:tcPr>
          <w:p>
            <w:pPr>
              <w:jc w:val="center"/>
            </w:pPr>
            <w:r>
              <w:rPr>
                <w:sz w:val="18"/>
              </w:rPr>
              <w:t>6.2</w:t>
            </w:r>
          </w:p>
        </w:tc>
      </w:tr>
      <w:tr>
        <w:tc>
          <w:tcPr>
            <w:tcW w:type="dxa" w:w="1881"/>
            <w:shd w:val="clear" w:color="auto" w:fill="FFFFFF"/>
          </w:tcPr>
          <w:p>
            <w:pPr>
              <w:jc w:val="center"/>
            </w:pPr>
            <w:r>
              <w:rPr>
                <w:sz w:val="18"/>
              </w:rPr>
              <w:t>4</w:t>
            </w:r>
          </w:p>
        </w:tc>
        <w:tc>
          <w:tcPr>
            <w:tcW w:type="dxa" w:w="1881"/>
            <w:shd w:val="clear" w:color="auto" w:fill="FFFFFF"/>
          </w:tcPr>
          <w:p>
            <w:pPr>
              <w:jc w:val="center"/>
            </w:pPr>
            <w:r>
              <w:rPr>
                <w:sz w:val="18"/>
              </w:rPr>
              <w:t>4</w:t>
            </w:r>
          </w:p>
        </w:tc>
        <w:tc>
          <w:tcPr>
            <w:tcW w:type="dxa" w:w="1881"/>
            <w:shd w:val="clear" w:color="auto" w:fill="FFFFFF"/>
          </w:tcPr>
          <w:p>
            <w:pPr>
              <w:jc w:val="center"/>
            </w:pPr>
            <w:r>
              <w:rPr>
                <w:sz w:val="18"/>
              </w:rPr>
              <w:t>17</w:t>
            </w:r>
          </w:p>
        </w:tc>
        <w:tc>
          <w:tcPr>
            <w:tcW w:type="dxa" w:w="1881"/>
            <w:shd w:val="clear" w:color="auto" w:fill="FFFFFF"/>
          </w:tcPr>
          <w:p>
            <w:pPr>
              <w:jc w:val="center"/>
            </w:pPr>
            <w:r>
              <w:rPr>
                <w:sz w:val="18"/>
              </w:rPr>
              <w:t>2</w:t>
            </w:r>
          </w:p>
        </w:tc>
        <w:tc>
          <w:tcPr>
            <w:tcW w:type="dxa" w:w="1881"/>
            <w:shd w:val="clear" w:color="auto" w:fill="FFFFFF"/>
          </w:tcPr>
          <w:p>
            <w:pPr>
              <w:jc w:val="center"/>
            </w:pPr>
            <w:r>
              <w:rPr>
                <w:sz w:val="18"/>
              </w:rPr>
              <w:t>11.8</w:t>
            </w:r>
          </w:p>
        </w:tc>
      </w:tr>
    </w:tbl>
    <w:p/>
    <w:p>
      <w:pPr>
        <w:spacing w:after="120"/>
      </w:pPr>
      <w:r>
        <w:rPr>
          <w:b w:val="0"/>
          <w:i w:val="0"/>
          <w:sz w:val="22"/>
        </w:rPr>
        <w:t>The heatmap analysis reveals that employees scoring 1 on both JobSatisfaction and WorkLifeBalance have the highest attrition rates — a clear signal for targeted engagement initiatives.</w:t>
      </w:r>
    </w:p>
    <w:p>
      <w:pPr>
        <w:pStyle w:val="Heading1"/>
        <w:spacing w:before="280" w:after="120"/>
      </w:pPr>
      <w:r>
        <w:rPr>
          <w:b/>
          <w:color w:val="1E3A5F"/>
          <w:sz w:val="32"/>
        </w:rPr>
        <w:t>10. Analysis 7 – Salary &amp; Compensation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3A5F"/>
          </w:tcPr>
          <w:p>
            <w:pPr>
              <w:jc w:val="center"/>
            </w:pPr>
            <w:r>
              <w:rPr>
                <w:b/>
                <w:color w:val="FFFFFF"/>
                <w:sz w:val="18"/>
              </w:rPr>
              <w:t>SalaryTier</w:t>
            </w:r>
          </w:p>
        </w:tc>
        <w:tc>
          <w:tcPr>
            <w:tcW w:type="dxa" w:w="4703"/>
            <w:shd w:val="clear" w:color="auto" w:fill="1E3A5F"/>
          </w:tcPr>
          <w:p>
            <w:pPr>
              <w:jc w:val="center"/>
            </w:pPr>
            <w:r>
              <w:rPr>
                <w:b/>
                <w:color w:val="FFFFFF"/>
                <w:sz w:val="18"/>
              </w:rPr>
              <w:t>AttritionRate</w:t>
            </w:r>
          </w:p>
        </w:tc>
      </w:tr>
      <w:tr>
        <w:tc>
          <w:tcPr>
            <w:tcW w:type="dxa" w:w="4703"/>
            <w:shd w:val="clear" w:color="auto" w:fill="EFF6FF"/>
          </w:tcPr>
          <w:p>
            <w:pPr>
              <w:jc w:val="center"/>
            </w:pPr>
            <w:r>
              <w:rPr>
                <w:sz w:val="18"/>
              </w:rPr>
              <w:t>Low (&lt;3k)</w:t>
            </w:r>
          </w:p>
        </w:tc>
        <w:tc>
          <w:tcPr>
            <w:tcW w:type="dxa" w:w="4703"/>
            <w:shd w:val="clear" w:color="auto" w:fill="EFF6FF"/>
          </w:tcPr>
          <w:p>
            <w:pPr>
              <w:jc w:val="center"/>
            </w:pPr>
            <w:r>
              <w:rPr>
                <w:sz w:val="18"/>
              </w:rPr>
              <w:t>23.5%</w:t>
            </w:r>
          </w:p>
        </w:tc>
      </w:tr>
      <w:tr>
        <w:tc>
          <w:tcPr>
            <w:tcW w:type="dxa" w:w="4703"/>
            <w:shd w:val="clear" w:color="auto" w:fill="FFFFFF"/>
          </w:tcPr>
          <w:p>
            <w:pPr>
              <w:jc w:val="center"/>
            </w:pPr>
            <w:r>
              <w:rPr>
                <w:sz w:val="18"/>
              </w:rPr>
              <w:t>Mid (3-7k)</w:t>
            </w:r>
          </w:p>
        </w:tc>
        <w:tc>
          <w:tcPr>
            <w:tcW w:type="dxa" w:w="4703"/>
            <w:shd w:val="clear" w:color="auto" w:fill="FFFFFF"/>
          </w:tcPr>
          <w:p>
            <w:pPr>
              <w:jc w:val="center"/>
            </w:pPr>
            <w:r>
              <w:rPr>
                <w:sz w:val="18"/>
              </w:rPr>
              <w:t>16.0%</w:t>
            </w:r>
          </w:p>
        </w:tc>
      </w:tr>
      <w:tr>
        <w:tc>
          <w:tcPr>
            <w:tcW w:type="dxa" w:w="4703"/>
            <w:shd w:val="clear" w:color="auto" w:fill="EFF6FF"/>
          </w:tcPr>
          <w:p>
            <w:pPr>
              <w:jc w:val="center"/>
            </w:pPr>
            <w:r>
              <w:rPr>
                <w:sz w:val="18"/>
              </w:rPr>
              <w:t>High (7-12k)</w:t>
            </w:r>
          </w:p>
        </w:tc>
        <w:tc>
          <w:tcPr>
            <w:tcW w:type="dxa" w:w="4703"/>
            <w:shd w:val="clear" w:color="auto" w:fill="EFF6FF"/>
          </w:tcPr>
          <w:p>
            <w:pPr>
              <w:jc w:val="center"/>
            </w:pPr>
            <w:r>
              <w:rPr>
                <w:sz w:val="18"/>
              </w:rPr>
              <w:t>12.5%</w:t>
            </w:r>
          </w:p>
        </w:tc>
      </w:tr>
      <w:tr>
        <w:tc>
          <w:tcPr>
            <w:tcW w:type="dxa" w:w="4703"/>
            <w:shd w:val="clear" w:color="auto" w:fill="FFFFFF"/>
          </w:tcPr>
          <w:p>
            <w:pPr>
              <w:jc w:val="center"/>
            </w:pPr>
            <w:r>
              <w:rPr>
                <w:sz w:val="18"/>
              </w:rPr>
              <w:t>Senior (&gt;12k)</w:t>
            </w:r>
          </w:p>
        </w:tc>
        <w:tc>
          <w:tcPr>
            <w:tcW w:type="dxa" w:w="4703"/>
            <w:shd w:val="clear" w:color="auto" w:fill="FFFFFF"/>
          </w:tcPr>
          <w:p>
            <w:pPr>
              <w:jc w:val="center"/>
            </w:pPr>
            <w:r>
              <w:rPr>
                <w:sz w:val="18"/>
              </w:rPr>
              <w:t>2.8%</w:t>
            </w:r>
          </w:p>
        </w:tc>
      </w:tr>
    </w:tbl>
    <w:p/>
    <w:p>
      <w:pPr>
        <w:spacing w:after="120"/>
      </w:pPr>
      <w:r>
        <w:rPr>
          <w:b w:val="0"/>
          <w:i w:val="0"/>
          <w:sz w:val="22"/>
        </w:rPr>
        <w:t>The lowest salary tier (&lt;$3,000/month) shows the highest attrition rate, pointing to compensation as a major lever for HR retention strategy.</w:t>
      </w:r>
    </w:p>
    <w:p>
      <w:pPr>
        <w:pStyle w:val="Heading1"/>
        <w:spacing w:before="280" w:after="120"/>
      </w:pPr>
      <w:r>
        <w:rPr>
          <w:b/>
          <w:color w:val="1E3A5F"/>
          <w:sz w:val="32"/>
        </w:rPr>
        <w:t>11. Analysis 8 – Commute Distance</w:t>
      </w:r>
    </w:p>
    <w:tbl>
      <w:tblPr>
        <w:tblStyle w:val="TableGrid"/>
        <w:tblW w:type="auto" w:w="0"/>
        <w:jc w:val="left"/>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E3A5F"/>
          </w:tcPr>
          <w:p>
            <w:pPr>
              <w:jc w:val="center"/>
            </w:pPr>
            <w:r>
              <w:rPr>
                <w:b/>
                <w:color w:val="FFFFFF"/>
                <w:sz w:val="18"/>
              </w:rPr>
              <w:t>Attrition</w:t>
            </w:r>
          </w:p>
        </w:tc>
        <w:tc>
          <w:tcPr>
            <w:tcW w:type="dxa" w:w="1045"/>
            <w:shd w:val="clear" w:color="auto" w:fill="1E3A5F"/>
          </w:tcPr>
          <w:p>
            <w:pPr>
              <w:jc w:val="center"/>
            </w:pPr>
            <w:r>
              <w:rPr>
                <w:b/>
                <w:color w:val="FFFFFF"/>
                <w:sz w:val="18"/>
              </w:rPr>
              <w:t>count</w:t>
            </w:r>
          </w:p>
        </w:tc>
        <w:tc>
          <w:tcPr>
            <w:tcW w:type="dxa" w:w="1045"/>
            <w:shd w:val="clear" w:color="auto" w:fill="1E3A5F"/>
          </w:tcPr>
          <w:p>
            <w:pPr>
              <w:jc w:val="center"/>
            </w:pPr>
            <w:r>
              <w:rPr>
                <w:b/>
                <w:color w:val="FFFFFF"/>
                <w:sz w:val="18"/>
              </w:rPr>
              <w:t>mean</w:t>
            </w:r>
          </w:p>
        </w:tc>
        <w:tc>
          <w:tcPr>
            <w:tcW w:type="dxa" w:w="1045"/>
            <w:shd w:val="clear" w:color="auto" w:fill="1E3A5F"/>
          </w:tcPr>
          <w:p>
            <w:pPr>
              <w:jc w:val="center"/>
            </w:pPr>
            <w:r>
              <w:rPr>
                <w:b/>
                <w:color w:val="FFFFFF"/>
                <w:sz w:val="18"/>
              </w:rPr>
              <w:t>std</w:t>
            </w:r>
          </w:p>
        </w:tc>
        <w:tc>
          <w:tcPr>
            <w:tcW w:type="dxa" w:w="1045"/>
            <w:shd w:val="clear" w:color="auto" w:fill="1E3A5F"/>
          </w:tcPr>
          <w:p>
            <w:pPr>
              <w:jc w:val="center"/>
            </w:pPr>
            <w:r>
              <w:rPr>
                <w:b/>
                <w:color w:val="FFFFFF"/>
                <w:sz w:val="18"/>
              </w:rPr>
              <w:t>min</w:t>
            </w:r>
          </w:p>
        </w:tc>
        <w:tc>
          <w:tcPr>
            <w:tcW w:type="dxa" w:w="1045"/>
            <w:shd w:val="clear" w:color="auto" w:fill="1E3A5F"/>
          </w:tcPr>
          <w:p>
            <w:pPr>
              <w:jc w:val="center"/>
            </w:pPr>
            <w:r>
              <w:rPr>
                <w:b/>
                <w:color w:val="FFFFFF"/>
                <w:sz w:val="18"/>
              </w:rPr>
              <w:t>25%</w:t>
            </w:r>
          </w:p>
        </w:tc>
        <w:tc>
          <w:tcPr>
            <w:tcW w:type="dxa" w:w="1045"/>
            <w:shd w:val="clear" w:color="auto" w:fill="1E3A5F"/>
          </w:tcPr>
          <w:p>
            <w:pPr>
              <w:jc w:val="center"/>
            </w:pPr>
            <w:r>
              <w:rPr>
                <w:b/>
                <w:color w:val="FFFFFF"/>
                <w:sz w:val="18"/>
              </w:rPr>
              <w:t>50%</w:t>
            </w:r>
          </w:p>
        </w:tc>
        <w:tc>
          <w:tcPr>
            <w:tcW w:type="dxa" w:w="1045"/>
            <w:shd w:val="clear" w:color="auto" w:fill="1E3A5F"/>
          </w:tcPr>
          <w:p>
            <w:pPr>
              <w:jc w:val="center"/>
            </w:pPr>
            <w:r>
              <w:rPr>
                <w:b/>
                <w:color w:val="FFFFFF"/>
                <w:sz w:val="18"/>
              </w:rPr>
              <w:t>75%</w:t>
            </w:r>
          </w:p>
        </w:tc>
        <w:tc>
          <w:tcPr>
            <w:tcW w:type="dxa" w:w="1045"/>
            <w:shd w:val="clear" w:color="auto" w:fill="1E3A5F"/>
          </w:tcPr>
          <w:p>
            <w:pPr>
              <w:jc w:val="center"/>
            </w:pPr>
            <w:r>
              <w:rPr>
                <w:b/>
                <w:color w:val="FFFFFF"/>
                <w:sz w:val="18"/>
              </w:rPr>
              <w:t>max</w:t>
            </w:r>
          </w:p>
        </w:tc>
      </w:tr>
      <w:tr>
        <w:tc>
          <w:tcPr>
            <w:tcW w:type="dxa" w:w="1045"/>
            <w:shd w:val="clear" w:color="auto" w:fill="EFF6FF"/>
          </w:tcPr>
          <w:p>
            <w:pPr>
              <w:jc w:val="center"/>
            </w:pPr>
            <w:r>
              <w:rPr>
                <w:sz w:val="18"/>
              </w:rPr>
              <w:t>No</w:t>
            </w:r>
          </w:p>
        </w:tc>
        <w:tc>
          <w:tcPr>
            <w:tcW w:type="dxa" w:w="1045"/>
            <w:shd w:val="clear" w:color="auto" w:fill="EFF6FF"/>
          </w:tcPr>
          <w:p>
            <w:pPr>
              <w:jc w:val="center"/>
            </w:pPr>
            <w:r>
              <w:rPr>
                <w:sz w:val="18"/>
              </w:rPr>
              <w:t>422.0</w:t>
            </w:r>
          </w:p>
        </w:tc>
        <w:tc>
          <w:tcPr>
            <w:tcW w:type="dxa" w:w="1045"/>
            <w:shd w:val="clear" w:color="auto" w:fill="EFF6FF"/>
          </w:tcPr>
          <w:p>
            <w:pPr>
              <w:jc w:val="center"/>
            </w:pPr>
            <w:r>
              <w:rPr>
                <w:sz w:val="18"/>
              </w:rPr>
              <w:t>8.83</w:t>
            </w:r>
          </w:p>
        </w:tc>
        <w:tc>
          <w:tcPr>
            <w:tcW w:type="dxa" w:w="1045"/>
            <w:shd w:val="clear" w:color="auto" w:fill="EFF6FF"/>
          </w:tcPr>
          <w:p>
            <w:pPr>
              <w:jc w:val="center"/>
            </w:pPr>
            <w:r>
              <w:rPr>
                <w:sz w:val="18"/>
              </w:rPr>
              <w:t>8.14</w:t>
            </w:r>
          </w:p>
        </w:tc>
        <w:tc>
          <w:tcPr>
            <w:tcW w:type="dxa" w:w="1045"/>
            <w:shd w:val="clear" w:color="auto" w:fill="EFF6FF"/>
          </w:tcPr>
          <w:p>
            <w:pPr>
              <w:jc w:val="center"/>
            </w:pPr>
            <w:r>
              <w:rPr>
                <w:sz w:val="18"/>
              </w:rPr>
              <w:t>1.0</w:t>
            </w:r>
          </w:p>
        </w:tc>
        <w:tc>
          <w:tcPr>
            <w:tcW w:type="dxa" w:w="1045"/>
            <w:shd w:val="clear" w:color="auto" w:fill="EFF6FF"/>
          </w:tcPr>
          <w:p>
            <w:pPr>
              <w:jc w:val="center"/>
            </w:pPr>
            <w:r>
              <w:rPr>
                <w:sz w:val="18"/>
              </w:rPr>
              <w:t>2.0</w:t>
            </w:r>
          </w:p>
        </w:tc>
        <w:tc>
          <w:tcPr>
            <w:tcW w:type="dxa" w:w="1045"/>
            <w:shd w:val="clear" w:color="auto" w:fill="EFF6FF"/>
          </w:tcPr>
          <w:p>
            <w:pPr>
              <w:jc w:val="center"/>
            </w:pPr>
            <w:r>
              <w:rPr>
                <w:sz w:val="18"/>
              </w:rPr>
              <w:t>6.0</w:t>
            </w:r>
          </w:p>
        </w:tc>
        <w:tc>
          <w:tcPr>
            <w:tcW w:type="dxa" w:w="1045"/>
            <w:shd w:val="clear" w:color="auto" w:fill="EFF6FF"/>
          </w:tcPr>
          <w:p>
            <w:pPr>
              <w:jc w:val="center"/>
            </w:pPr>
            <w:r>
              <w:rPr>
                <w:sz w:val="18"/>
              </w:rPr>
              <w:t>12.0</w:t>
            </w:r>
          </w:p>
        </w:tc>
        <w:tc>
          <w:tcPr>
            <w:tcW w:type="dxa" w:w="1045"/>
            <w:shd w:val="clear" w:color="auto" w:fill="EFF6FF"/>
          </w:tcPr>
          <w:p>
            <w:pPr>
              <w:jc w:val="center"/>
            </w:pPr>
            <w:r>
              <w:rPr>
                <w:sz w:val="18"/>
              </w:rPr>
              <w:t>29.0</w:t>
            </w:r>
          </w:p>
        </w:tc>
      </w:tr>
      <w:tr>
        <w:tc>
          <w:tcPr>
            <w:tcW w:type="dxa" w:w="1045"/>
            <w:shd w:val="clear" w:color="auto" w:fill="FFFFFF"/>
          </w:tcPr>
          <w:p>
            <w:pPr>
              <w:jc w:val="center"/>
            </w:pPr>
            <w:r>
              <w:rPr>
                <w:sz w:val="18"/>
              </w:rPr>
              <w:t>Yes</w:t>
            </w:r>
          </w:p>
        </w:tc>
        <w:tc>
          <w:tcPr>
            <w:tcW w:type="dxa" w:w="1045"/>
            <w:shd w:val="clear" w:color="auto" w:fill="FFFFFF"/>
          </w:tcPr>
          <w:p>
            <w:pPr>
              <w:jc w:val="center"/>
            </w:pPr>
            <w:r>
              <w:rPr>
                <w:sz w:val="18"/>
              </w:rPr>
              <w:t>78.0</w:t>
            </w:r>
          </w:p>
        </w:tc>
        <w:tc>
          <w:tcPr>
            <w:tcW w:type="dxa" w:w="1045"/>
            <w:shd w:val="clear" w:color="auto" w:fill="FFFFFF"/>
          </w:tcPr>
          <w:p>
            <w:pPr>
              <w:jc w:val="center"/>
            </w:pPr>
            <w:r>
              <w:rPr>
                <w:sz w:val="18"/>
              </w:rPr>
              <w:t>10.68</w:t>
            </w:r>
          </w:p>
        </w:tc>
        <w:tc>
          <w:tcPr>
            <w:tcW w:type="dxa" w:w="1045"/>
            <w:shd w:val="clear" w:color="auto" w:fill="FFFFFF"/>
          </w:tcPr>
          <w:p>
            <w:pPr>
              <w:jc w:val="center"/>
            </w:pPr>
            <w:r>
              <w:rPr>
                <w:sz w:val="18"/>
              </w:rPr>
              <w:t>8.74</w:t>
            </w:r>
          </w:p>
        </w:tc>
        <w:tc>
          <w:tcPr>
            <w:tcW w:type="dxa" w:w="1045"/>
            <w:shd w:val="clear" w:color="auto" w:fill="FFFFFF"/>
          </w:tcPr>
          <w:p>
            <w:pPr>
              <w:jc w:val="center"/>
            </w:pPr>
            <w:r>
              <w:rPr>
                <w:sz w:val="18"/>
              </w:rPr>
              <w:t>1.0</w:t>
            </w:r>
          </w:p>
        </w:tc>
        <w:tc>
          <w:tcPr>
            <w:tcW w:type="dxa" w:w="1045"/>
            <w:shd w:val="clear" w:color="auto" w:fill="FFFFFF"/>
          </w:tcPr>
          <w:p>
            <w:pPr>
              <w:jc w:val="center"/>
            </w:pPr>
            <w:r>
              <w:rPr>
                <w:sz w:val="18"/>
              </w:rPr>
              <w:t>3.0</w:t>
            </w:r>
          </w:p>
        </w:tc>
        <w:tc>
          <w:tcPr>
            <w:tcW w:type="dxa" w:w="1045"/>
            <w:shd w:val="clear" w:color="auto" w:fill="FFFFFF"/>
          </w:tcPr>
          <w:p>
            <w:pPr>
              <w:jc w:val="center"/>
            </w:pPr>
            <w:r>
              <w:rPr>
                <w:sz w:val="18"/>
              </w:rPr>
              <w:t>8.0</w:t>
            </w:r>
          </w:p>
        </w:tc>
        <w:tc>
          <w:tcPr>
            <w:tcW w:type="dxa" w:w="1045"/>
            <w:shd w:val="clear" w:color="auto" w:fill="FFFFFF"/>
          </w:tcPr>
          <w:p>
            <w:pPr>
              <w:jc w:val="center"/>
            </w:pPr>
            <w:r>
              <w:rPr>
                <w:sz w:val="18"/>
              </w:rPr>
              <w:t>17.75</w:t>
            </w:r>
          </w:p>
        </w:tc>
        <w:tc>
          <w:tcPr>
            <w:tcW w:type="dxa" w:w="1045"/>
            <w:shd w:val="clear" w:color="auto" w:fill="FFFFFF"/>
          </w:tcPr>
          <w:p>
            <w:pPr>
              <w:jc w:val="center"/>
            </w:pPr>
            <w:r>
              <w:rPr>
                <w:sz w:val="18"/>
              </w:rPr>
              <w:t>29.0</w:t>
            </w:r>
          </w:p>
        </w:tc>
      </w:tr>
    </w:tbl>
    <w:p/>
    <w:p>
      <w:pPr>
        <w:spacing w:after="120"/>
      </w:pPr>
      <w:r>
        <w:rPr>
          <w:b w:val="0"/>
          <w:i w:val="0"/>
          <w:sz w:val="22"/>
        </w:rPr>
        <w:t>Employees who live farther from the office have a higher tendency to leave. Hybrid and remote work options can significantly reduce this risk factor.</w:t>
      </w:r>
    </w:p>
    <w:p>
      <w:r>
        <w:br w:type="page"/>
      </w:r>
    </w:p>
    <w:p>
      <w:pPr>
        <w:pStyle w:val="Heading1"/>
        <w:spacing w:before="280" w:after="120"/>
      </w:pPr>
      <w:r>
        <w:rPr>
          <w:b/>
          <w:color w:val="1E3A5F"/>
          <w:sz w:val="32"/>
        </w:rPr>
        <w:t>12. Business Insights &amp; HR Recommendations</w:t>
      </w:r>
    </w:p>
    <w:p>
      <w:pPr>
        <w:spacing w:after="120"/>
      </w:pPr>
      <w:r>
        <w:rPr>
          <w:b w:val="0"/>
          <w:i w:val="0"/>
          <w:sz w:val="22"/>
        </w:rPr>
        <w:t>The following insights were derived directly from the dataset. Each finding is paired with a concrete, actionable HR recommendation.</w:t>
      </w:r>
    </w:p>
    <w:p/>
    <w:p>
      <w:r>
        <w:rPr>
          <w:b/>
          <w:color w:val="1E3A5F"/>
          <w:sz w:val="22"/>
        </w:rPr>
        <w:t>Insight 1: ⏰</w:t>
      </w:r>
    </w:p>
    <w:p>
      <w:r>
        <w:rPr>
          <w:sz w:val="21"/>
        </w:rPr>
        <w:t>Finding: Employees working OverTime have a 29.9% attrition rate vs 9.8% for those who don't — a 20.1pp gap.</w:t>
      </w:r>
    </w:p>
    <w:p>
      <w:r>
        <w:rPr>
          <w:i/>
          <w:color w:val="1E40AF"/>
          <w:sz w:val="21"/>
        </w:rPr>
        <w:t>Recommendation: Implement overtime caps or compensatory time-off policies to reduce burnout.</w:t>
      </w:r>
    </w:p>
    <w:p/>
    <w:p>
      <w:r>
        <w:rPr>
          <w:b/>
          <w:color w:val="1E3A5F"/>
          <w:sz w:val="22"/>
        </w:rPr>
        <w:t>Insight 2: 💰</w:t>
      </w:r>
    </w:p>
    <w:p>
      <w:r>
        <w:rPr>
          <w:sz w:val="21"/>
        </w:rPr>
        <w:t>Finding: Employees in the lowest salary tier (&lt;$3k) leave at 23.5% — significantly higher than higher earners.</w:t>
      </w:r>
    </w:p>
    <w:p>
      <w:r>
        <w:rPr>
          <w:i/>
          <w:color w:val="1E40AF"/>
          <w:sz w:val="21"/>
        </w:rPr>
        <w:t>Recommendation: Conduct salary benchmarking; introduce merit-based raises for low-tier employees.</w:t>
      </w:r>
    </w:p>
    <w:p/>
    <w:p>
      <w:r>
        <w:rPr>
          <w:b/>
          <w:color w:val="1E3A5F"/>
          <w:sz w:val="22"/>
        </w:rPr>
        <w:t>Insight 3: 🎓</w:t>
      </w:r>
    </w:p>
    <w:p>
      <w:r>
        <w:rPr>
          <w:sz w:val="21"/>
        </w:rPr>
        <w:t>Finding: Employees aged 18-25 have the highest attrition rate at 34.1%.</w:t>
      </w:r>
    </w:p>
    <w:p>
      <w:r>
        <w:rPr>
          <w:i/>
          <w:color w:val="1E40AF"/>
          <w:sz w:val="21"/>
        </w:rPr>
        <w:t>Recommendation: Create structured onboarding, mentorship, and early-career development programmes.</w:t>
      </w:r>
    </w:p>
    <w:p/>
    <w:p>
      <w:r>
        <w:rPr>
          <w:b/>
          <w:color w:val="1E3A5F"/>
          <w:sz w:val="22"/>
        </w:rPr>
        <w:t>Insight 4: 😞</w:t>
      </w:r>
    </w:p>
    <w:p>
      <w:r>
        <w:rPr>
          <w:sz w:val="21"/>
        </w:rPr>
        <w:t>Finding: Employees with job satisfaction score 1 (lowest) leave at 20.0%.</w:t>
      </w:r>
    </w:p>
    <w:p>
      <w:r>
        <w:rPr>
          <w:i/>
          <w:color w:val="1E40AF"/>
          <w:sz w:val="21"/>
        </w:rPr>
        <w:t>Recommendation: Run quarterly engagement surveys and act on feedback within 30 days.</w:t>
      </w:r>
    </w:p>
    <w:p/>
    <w:p>
      <w:r>
        <w:rPr>
          <w:b/>
          <w:color w:val="1E3A5F"/>
          <w:sz w:val="22"/>
        </w:rPr>
        <w:t>Insight 5: 🚗</w:t>
      </w:r>
    </w:p>
    <w:p>
      <w:r>
        <w:rPr>
          <w:sz w:val="21"/>
        </w:rPr>
        <w:t>Finding: Employees living &gt;20 km from office have 20.0% attrition rate.</w:t>
      </w:r>
    </w:p>
    <w:p>
      <w:r>
        <w:rPr>
          <w:i/>
          <w:color w:val="1E40AF"/>
          <w:sz w:val="21"/>
        </w:rPr>
        <w:t>Recommendation: Offer remote/hybrid work options or commute allowances for distant employees.</w:t>
      </w:r>
    </w:p>
    <w:p/>
    <w:p>
      <w:r>
        <w:rPr>
          <w:b/>
          <w:color w:val="1E3A5F"/>
          <w:sz w:val="22"/>
        </w:rPr>
        <w:t>Insight 6: ⚖️</w:t>
      </w:r>
    </w:p>
    <w:p>
      <w:r>
        <w:rPr>
          <w:sz w:val="21"/>
        </w:rPr>
        <w:t>Finding: Employees rating WLB as 1 (bad) leave at 24.1%.</w:t>
      </w:r>
    </w:p>
    <w:p>
      <w:r>
        <w:rPr>
          <w:i/>
          <w:color w:val="1E40AF"/>
          <w:sz w:val="21"/>
        </w:rPr>
        <w:t>Recommendation: Introduce flexible hours, wellness programmes, and enforce leave policies.</w:t>
      </w:r>
    </w:p>
    <w:p/>
    <w:p>
      <w:r>
        <w:rPr>
          <w:b/>
          <w:color w:val="1E3A5F"/>
          <w:sz w:val="22"/>
        </w:rPr>
        <w:t>Insight 7: 💼</w:t>
      </w:r>
    </w:p>
    <w:p>
      <w:r>
        <w:rPr>
          <w:sz w:val="21"/>
        </w:rPr>
        <w:t>Finding: Sales Representative has the highest role-level attrition at 46.7%.</w:t>
      </w:r>
    </w:p>
    <w:p>
      <w:r>
        <w:rPr>
          <w:i/>
          <w:color w:val="1E40AF"/>
          <w:sz w:val="21"/>
        </w:rPr>
        <w:t>Recommendation: Review workload, compensation, and growth paths for Sales Representative positions specifically.</w:t>
      </w:r>
    </w:p>
    <w:p/>
    <w:p>
      <w:pPr>
        <w:pStyle w:val="Heading2"/>
        <w:spacing w:before="280" w:after="120"/>
      </w:pPr>
      <w:r>
        <w:rPr>
          <w:b/>
          <w:color w:val="1E3A5F"/>
          <w:sz w:val="26"/>
        </w:rPr>
        <w:t>Overall HR Strategy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3A5F"/>
          </w:tcPr>
          <w:p>
            <w:r>
              <w:rPr>
                <w:b/>
                <w:color w:val="FFFFFF"/>
                <w:sz w:val="20"/>
              </w:rPr>
              <w:t>Strategy</w:t>
            </w:r>
          </w:p>
        </w:tc>
        <w:tc>
          <w:tcPr>
            <w:tcW w:type="dxa" w:w="4703"/>
            <w:shd w:val="clear" w:color="auto" w:fill="1E3A5F"/>
          </w:tcPr>
          <w:p>
            <w:r>
              <w:rPr>
                <w:b/>
                <w:color w:val="FFFFFF"/>
                <w:sz w:val="20"/>
              </w:rPr>
              <w:t>Action Plan</w:t>
            </w:r>
          </w:p>
        </w:tc>
      </w:tr>
      <w:tr>
        <w:tc>
          <w:tcPr>
            <w:tcW w:type="dxa" w:w="4703"/>
            <w:shd w:val="clear" w:color="auto" w:fill="DBE4FE"/>
          </w:tcPr>
          <w:p>
            <w:r>
              <w:rPr>
                <w:b/>
                <w:sz w:val="20"/>
              </w:rPr>
              <w:t>Overtime Management</w:t>
            </w:r>
          </w:p>
        </w:tc>
        <w:tc>
          <w:tcPr>
            <w:tcW w:type="dxa" w:w="4703"/>
            <w:shd w:val="clear" w:color="auto" w:fill="F8FAFC"/>
          </w:tcPr>
          <w:p>
            <w:r>
              <w:rPr>
                <w:sz w:val="20"/>
              </w:rPr>
              <w:t>Enforce overtime caps; introduce compensatory leave; monitor burnout indicators monthly with manager check-ins.</w:t>
            </w:r>
          </w:p>
        </w:tc>
      </w:tr>
      <w:tr>
        <w:tc>
          <w:tcPr>
            <w:tcW w:type="dxa" w:w="4703"/>
            <w:shd w:val="clear" w:color="auto" w:fill="F1F5F9"/>
          </w:tcPr>
          <w:p>
            <w:r>
              <w:rPr>
                <w:b/>
                <w:sz w:val="20"/>
              </w:rPr>
              <w:t>Compensation Benchmarking</w:t>
            </w:r>
          </w:p>
        </w:tc>
        <w:tc>
          <w:tcPr>
            <w:tcW w:type="dxa" w:w="4703"/>
            <w:shd w:val="clear" w:color="auto" w:fill="FFFFFF"/>
          </w:tcPr>
          <w:p>
            <w:r>
              <w:rPr>
                <w:sz w:val="20"/>
              </w:rPr>
              <w:t>Conduct annual salary benchmarking; introduce merit-based raises for the lowest salary bands; add performance bonuses.</w:t>
            </w:r>
          </w:p>
        </w:tc>
      </w:tr>
      <w:tr>
        <w:tc>
          <w:tcPr>
            <w:tcW w:type="dxa" w:w="4703"/>
            <w:shd w:val="clear" w:color="auto" w:fill="DBE4FE"/>
          </w:tcPr>
          <w:p>
            <w:r>
              <w:rPr>
                <w:b/>
                <w:sz w:val="20"/>
              </w:rPr>
              <w:t>Early-Career Retention Programme</w:t>
            </w:r>
          </w:p>
        </w:tc>
        <w:tc>
          <w:tcPr>
            <w:tcW w:type="dxa" w:w="4703"/>
            <w:shd w:val="clear" w:color="auto" w:fill="F8FAFC"/>
          </w:tcPr>
          <w:p>
            <w:r>
              <w:rPr>
                <w:sz w:val="20"/>
              </w:rPr>
              <w:t>Structured onboarding, mentorship pairing, and clear promotion timelines for employees aged 18–25.</w:t>
            </w:r>
          </w:p>
        </w:tc>
      </w:tr>
      <w:tr>
        <w:tc>
          <w:tcPr>
            <w:tcW w:type="dxa" w:w="4703"/>
            <w:shd w:val="clear" w:color="auto" w:fill="F1F5F9"/>
          </w:tcPr>
          <w:p>
            <w:r>
              <w:rPr>
                <w:b/>
                <w:sz w:val="20"/>
              </w:rPr>
              <w:t>Engagement &amp; Satisfaction Surveys</w:t>
            </w:r>
          </w:p>
        </w:tc>
        <w:tc>
          <w:tcPr>
            <w:tcW w:type="dxa" w:w="4703"/>
            <w:shd w:val="clear" w:color="auto" w:fill="FFFFFF"/>
          </w:tcPr>
          <w:p>
            <w:r>
              <w:rPr>
                <w:sz w:val="20"/>
              </w:rPr>
              <w:t>Run quarterly pulse surveys; mandate a 30-day action plan for every department scoring below 2.5/4 on satisfaction.</w:t>
            </w:r>
          </w:p>
        </w:tc>
      </w:tr>
      <w:tr>
        <w:tc>
          <w:tcPr>
            <w:tcW w:type="dxa" w:w="4703"/>
            <w:shd w:val="clear" w:color="auto" w:fill="DBE4FE"/>
          </w:tcPr>
          <w:p>
            <w:r>
              <w:rPr>
                <w:b/>
                <w:sz w:val="20"/>
              </w:rPr>
              <w:t>Flexible &amp; Remote Work Policy</w:t>
            </w:r>
          </w:p>
        </w:tc>
        <w:tc>
          <w:tcPr>
            <w:tcW w:type="dxa" w:w="4703"/>
            <w:shd w:val="clear" w:color="auto" w:fill="F8FAFC"/>
          </w:tcPr>
          <w:p>
            <w:r>
              <w:rPr>
                <w:sz w:val="20"/>
              </w:rPr>
              <w:t>Offer hybrid or remote options for employees commuting &gt;15 km; provide commute allowances where remote is not feasible.</w:t>
            </w:r>
          </w:p>
        </w:tc>
      </w:tr>
      <w:tr>
        <w:tc>
          <w:tcPr>
            <w:tcW w:type="dxa" w:w="4703"/>
            <w:shd w:val="clear" w:color="auto" w:fill="F1F5F9"/>
          </w:tcPr>
          <w:p>
            <w:r>
              <w:rPr>
                <w:b/>
                <w:sz w:val="20"/>
              </w:rPr>
              <w:t>Role-Specific Retention Plans</w:t>
            </w:r>
          </w:p>
        </w:tc>
        <w:tc>
          <w:tcPr>
            <w:tcW w:type="dxa" w:w="4703"/>
            <w:shd w:val="clear" w:color="auto" w:fill="FFFFFF"/>
          </w:tcPr>
          <w:p>
            <w:r>
              <w:rPr>
                <w:sz w:val="20"/>
              </w:rPr>
              <w:t>Design targeted incentives and career-path roadmaps for the highest-attrition job roles identified in this analysis.</w:t>
            </w:r>
          </w:p>
        </w:tc>
      </w:tr>
      <w:tr>
        <w:tc>
          <w:tcPr>
            <w:tcW w:type="dxa" w:w="4703"/>
            <w:shd w:val="clear" w:color="auto" w:fill="DBE4FE"/>
          </w:tcPr>
          <w:p>
            <w:r>
              <w:rPr>
                <w:b/>
                <w:sz w:val="20"/>
              </w:rPr>
              <w:t>Early-Warning Metrics Dashboard</w:t>
            </w:r>
          </w:p>
        </w:tc>
        <w:tc>
          <w:tcPr>
            <w:tcW w:type="dxa" w:w="4703"/>
            <w:shd w:val="clear" w:color="auto" w:fill="F8FAFC"/>
          </w:tcPr>
          <w:p>
            <w:r>
              <w:rPr>
                <w:sz w:val="20"/>
              </w:rPr>
              <w:t>Track WLB scores, satisfaction scores, and overtime hours as leading indicators; alert HR when any team falls below defined thresholds.</w:t>
            </w:r>
          </w:p>
        </w:tc>
      </w:tr>
    </w:tbl>
    <w:p/>
    <w:p>
      <w:r>
        <w:br w:type="page"/>
      </w:r>
    </w:p>
    <w:p>
      <w:pPr>
        <w:pStyle w:val="Heading1"/>
        <w:spacing w:before="280" w:after="120"/>
      </w:pPr>
      <w:r>
        <w:rPr>
          <w:b/>
          <w:color w:val="1E3A5F"/>
          <w:sz w:val="32"/>
        </w:rPr>
        <w:t>13. Conclusion</w:t>
      </w:r>
    </w:p>
    <w:p>
      <w:pPr>
        <w:spacing w:after="120"/>
      </w:pPr>
      <w:r>
        <w:rPr>
          <w:b w:val="0"/>
          <w:i w:val="0"/>
          <w:sz w:val="22"/>
        </w:rPr>
        <w:t>This analysis of IBM's HR Attrition dataset demonstrates that employee turnover is a multi-dimensional problem driven by the intersection of compensation, workload, satisfaction, and personal circumstances such as commute distance.</w:t>
      </w:r>
    </w:p>
    <w:p>
      <w:pPr>
        <w:spacing w:after="120"/>
      </w:pPr>
      <w:r>
        <w:rPr>
          <w:b w:val="0"/>
          <w:i w:val="0"/>
          <w:sz w:val="22"/>
        </w:rPr>
        <w:t>The most significant predictors identified are:</w:t>
      </w:r>
    </w:p>
    <w:p>
      <w:pPr>
        <w:pStyle w:val="ListBullet"/>
        <w:spacing w:after="60"/>
      </w:pPr>
      <w:r>
        <w:rPr>
          <w:sz w:val="21"/>
        </w:rPr>
        <w:t>OverTime status — employees working overtime leave at nearly double the rate.</w:t>
      </w:r>
    </w:p>
    <w:p>
      <w:pPr>
        <w:pStyle w:val="ListBullet"/>
        <w:spacing w:after="60"/>
      </w:pPr>
      <w:r>
        <w:rPr>
          <w:sz w:val="21"/>
        </w:rPr>
        <w:t>Salary tier — low-income employees are the most vulnerable to leaving.</w:t>
      </w:r>
    </w:p>
    <w:p>
      <w:pPr>
        <w:pStyle w:val="ListBullet"/>
        <w:spacing w:after="60"/>
      </w:pPr>
      <w:r>
        <w:rPr>
          <w:sz w:val="21"/>
        </w:rPr>
        <w:t>Age/career stage — early-career employees (18–25) show the highest volatility.</w:t>
      </w:r>
    </w:p>
    <w:p>
      <w:pPr>
        <w:pStyle w:val="ListBullet"/>
        <w:spacing w:after="60"/>
      </w:pPr>
      <w:r>
        <w:rPr>
          <w:sz w:val="21"/>
        </w:rPr>
        <w:t>Job satisfaction score — a score of 1 is a strong attrition signal.</w:t>
      </w:r>
    </w:p>
    <w:p>
      <w:pPr>
        <w:pStyle w:val="ListBullet"/>
        <w:spacing w:after="60"/>
      </w:pPr>
      <w:r>
        <w:rPr>
          <w:sz w:val="21"/>
        </w:rPr>
        <w:t>Work-life balance — a score of 1 correlates with significantly elevated attrition.</w:t>
      </w:r>
    </w:p>
    <w:p>
      <w:pPr>
        <w:pStyle w:val="ListBullet"/>
        <w:spacing w:after="60"/>
      </w:pPr>
      <w:r>
        <w:rPr>
          <w:sz w:val="21"/>
        </w:rPr>
        <w:t>Commute distance — longer commutes increase the probability of resignation.</w:t>
      </w:r>
    </w:p>
    <w:p>
      <w:pPr>
        <w:spacing w:after="120"/>
      </w:pPr>
      <w:r>
        <w:rPr>
          <w:b w:val="0"/>
          <w:i w:val="0"/>
          <w:sz w:val="22"/>
        </w:rPr>
        <w:br/>
        <w:t>Organisations that address these drivers proactively — through targeted retention programmes, competitive compensation, and a culture of engagement — can realistically reduce voluntary attrition by 20–40% within 12 months.</w:t>
      </w:r>
    </w:p>
    <w:p>
      <w:pPr>
        <w:spacing w:after="120"/>
      </w:pPr>
      <w:r>
        <w:rPr>
          <w:b w:val="0"/>
          <w:i/>
          <w:sz w:val="22"/>
        </w:rPr>
        <w:t>The interactive Streamlit dashboard (app.py) accompanying this report allows HR managers to filter the data in real time, explore patterns by department or role, and monitor the impact of retention initiatives as new data is collected.</w:t>
      </w:r>
    </w:p>
    <w:p>
      <w:pPr>
        <w:spacing w:before="40" w:after="40"/>
      </w:pPr>
      <w:r>
        <w:rPr>
          <w:color w:val="64748B"/>
          <w:sz w:val="16"/>
        </w:rPr>
        <w:t>──────────────────────────────────────────────────────────────────────────────────────────</w:t>
      </w:r>
    </w:p>
    <w:p>
      <w:pPr>
        <w:jc w:val="center"/>
      </w:pPr>
      <w:r>
        <w:rPr>
          <w:color w:val="64748B"/>
          <w:sz w:val="18"/>
        </w:rPr>
        <w:t>IBM HR Analytics Project Report  |  Generated September 24, 2026  |  IBM_HR_Attrition_500.csv  |  500 Employee Records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