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300" w:before="0"/>
        <w:jc w:val="center"/>
      </w:pPr>
      <w:r>
        <w:rPr>
          <w:rFonts w:ascii="Arial" w:cs="Arial" w:eastAsia="Arial" w:hAnsi="Arial"/>
          <w:b/>
          <w:bCs/>
          <w:color w:val="1F3864"/>
          <w:sz w:val="52"/>
          <w:szCs w:val="52"/>
        </w:rPr>
        <w:t xml:space="preserve">A Transformer-Based Deep Learning Recommender System</w:t>
      </w:r>
    </w:p>
    <w:p>
      <w:pPr>
        <w:spacing w:after="200" w:before="0"/>
        <w:jc w:val="center"/>
      </w:pPr>
      <w:r>
        <w:rPr>
          <w:rFonts w:ascii="Arial" w:cs="Arial" w:eastAsia="Arial" w:hAnsi="Arial"/>
          <w:b/>
          <w:bCs/>
          <w:color w:val="1F3864"/>
          <w:sz w:val="36"/>
          <w:szCs w:val="36"/>
        </w:rPr>
        <w:t xml:space="preserve">for Personalized Competitive Programming Problem Selection:</w:t>
      </w:r>
    </w:p>
    <w:p>
      <w:pPr>
        <w:spacing w:after="600" w:before="0"/>
        <w:jc w:val="center"/>
      </w:pPr>
      <w:r>
        <w:rPr>
          <w:rFonts w:ascii="Arial" w:cs="Arial" w:eastAsia="Arial" w:hAnsi="Arial"/>
          <w:b/>
          <w:bCs/>
          <w:color w:val="2E75B6"/>
          <w:sz w:val="36"/>
          <w:szCs w:val="36"/>
        </w:rPr>
        <w:t xml:space="preserve">Architecture, Training, and Empirical Evaluation</w:t>
      </w:r>
    </w:p>
    <w:p>
      <w:pPr>
        <w:pBdr>
          <w:bottom w:val="single" w:color="2E75B6" w:sz="6" w:space="1"/>
        </w:pBdr>
        <w:spacing w:after="240" w:before="240"/>
      </w:pPr>
      <w:r>
        <w:rPr>
          <w:sz w:val="4"/>
          <w:szCs w:val="4"/>
        </w:rPr>
        <w:t xml:space="preserve"/>
      </w:r>
    </w:p>
    <w:p>
      <w:r>
        <w:rPr>
          <w:sz w:val="22"/>
          <w:szCs w:val="22"/>
        </w:rPr>
        <w:t xml:space="preserve"/>
      </w:r>
    </w:p>
    <w:p>
      <w:r>
        <w:rPr>
          <w:sz w:val="22"/>
          <w:szCs w:val="22"/>
        </w:rPr>
        <w:t xml:space="preserve"/>
      </w:r>
    </w:p>
    <w:p>
      <w:pPr>
        <w:spacing w:after="120" w:before="0"/>
        <w:jc w:val="center"/>
      </w:pPr>
      <w:r>
        <w:rPr>
          <w:rFonts w:ascii="Arial" w:cs="Arial" w:eastAsia="Arial" w:hAnsi="Arial"/>
          <w:color w:val="555555"/>
          <w:sz w:val="22"/>
          <w:szCs w:val="22"/>
        </w:rPr>
        <w:t xml:space="preserve">April 27, 2026</w:t>
      </w:r>
    </w:p>
    <w:p>
      <w:pPr>
        <w:spacing w:after="800" w:before="0"/>
        <w:jc w:val="center"/>
      </w:pPr>
      <w:r>
        <w:rPr>
          <w:rFonts w:ascii="Arial" w:cs="Arial" w:eastAsia="Arial" w:hAnsi="Arial"/>
          <w:i/>
          <w:iCs/>
          <w:color w:val="777777"/>
          <w:sz w:val="20"/>
          <w:szCs w:val="20"/>
        </w:rPr>
        <w:t xml:space="preserve">System Build Date: April 27, 2026</w:t>
      </w:r>
    </w:p>
    <w:p>
      <w:r>
        <w:br w:type="page"/>
      </w:r>
    </w:p>
    <w:p>
      <w:pPr>
        <w:pStyle w:val="Heading1"/>
        <w:spacing w:after="200" w:before="360"/>
      </w:pPr>
      <w:r>
        <w:rPr>
          <w:rFonts w:ascii="Arial" w:cs="Arial" w:eastAsia="Arial" w:hAnsi="Arial"/>
          <w:b/>
          <w:bCs/>
          <w:color w:val="1F3864"/>
          <w:sz w:val="32"/>
          <w:szCs w:val="32"/>
        </w:rPr>
        <w:t xml:space="preserve">Abstract</w:t>
      </w:r>
    </w:p>
    <w:p>
      <w:pPr>
        <w:spacing w:after="100" w:before="80"/>
        <w:jc w:val="both"/>
      </w:pPr>
      <w:r>
        <w:rPr>
          <w:rFonts w:ascii="Arial" w:cs="Arial" w:eastAsia="Arial" w:hAnsi="Arial"/>
          <w:i w:val="false"/>
          <w:iCs w:val="false"/>
          <w:sz w:val="22"/>
          <w:szCs w:val="22"/>
        </w:rPr>
        <w:t xml:space="preserve">We present a self-implemented Transformer-based deep learning recommendation system designed to deliver personalized competitive programming problem suggestions. The system is constructed from foundational PyTorch primitives — without reliance on high-level training frameworks — and comprises three principal components: a Problem Encoder based on Transformer architecture with multi-head self-attention, a User Encoder employing a gated fusion of sequential Transformer processing and skill-profile MLP encoding, and a Multi-Task Recommender Model that simultaneously predicts solve probability, helpfulness, and difficulty match. The model was trained in two stages: contrastive pre-training on 3,433 LeetCode problems across 11 topic clusters, followed by supervised multi-task training on 12,000 synthetic user-problem interaction records. Evaluation results demonstrate that the problem encoder achieves 99.22% cluster purity, indicating highly coherent semantic representations. Ranking performance is strong, with NDCG@10 of 75.48% and Mean Reciprocal Rank (MRR) of 89.66%. However, classification accuracy for individual predictions is moderate (solve accuracy: 61.33%; helpful accuracy: 52.00%; difficulty accuracy: 36.67%), and calibration quality is rated poor (solve ECE: 20.96%; helpful ECE: 15.80%). Inference throughput reaches 2,155 problems per second for batches of 100. The full model occupies 6.10 MB in FP32 precision with 1.6 million parameters, making it suitable for resource-constrained deployment. We discuss the observed performance gaps, calibration issues, and outline directions for future improvement.</w:t>
      </w:r>
    </w:p>
    <w:p>
      <w:r>
        <w:br w:type="page"/>
      </w:r>
    </w:p>
    <w:p>
      <w:pPr>
        <w:pStyle w:val="Heading1"/>
        <w:spacing w:after="200" w:before="360"/>
      </w:pPr>
      <w:r>
        <w:rPr>
          <w:rFonts w:ascii="Arial" w:cs="Arial" w:eastAsia="Arial" w:hAnsi="Arial"/>
          <w:b/>
          <w:bCs/>
          <w:color w:val="1F3864"/>
          <w:sz w:val="32"/>
          <w:szCs w:val="32"/>
        </w:rPr>
        <w:t xml:space="preserve">1. Introduction</w:t>
      </w:r>
    </w:p>
    <w:p>
      <w:pPr>
        <w:spacing w:after="100" w:before="80"/>
        <w:jc w:val="both"/>
      </w:pPr>
      <w:r>
        <w:rPr>
          <w:rFonts w:ascii="Arial" w:cs="Arial" w:eastAsia="Arial" w:hAnsi="Arial"/>
          <w:i w:val="false"/>
          <w:iCs w:val="false"/>
          <w:sz w:val="22"/>
          <w:szCs w:val="22"/>
        </w:rPr>
        <w:t xml:space="preserve">Selecting an appropriate practice problem is a non-trivial challenge for learners engaged in competitive programming. Problems vary along multiple dimensions — difficulty, topic coverage, algorithmic requirement, and contextual fit for the individual — such that generic curated lists are insufficient for personalized learning. Rule-based systems, while efficient and interpretable, rely on hand-crafted heuristics and fail to capture the nuanced semantic relationships between problem content and user skill trajectories.</w:t>
      </w:r>
    </w:p>
    <w:p>
      <w:pPr>
        <w:spacing w:after="100" w:before="80"/>
        <w:jc w:val="both"/>
      </w:pPr>
      <w:r>
        <w:rPr>
          <w:rFonts w:ascii="Arial" w:cs="Arial" w:eastAsia="Arial" w:hAnsi="Arial"/>
          <w:i w:val="false"/>
          <w:iCs w:val="false"/>
          <w:sz w:val="22"/>
          <w:szCs w:val="22"/>
        </w:rPr>
        <w:t xml:space="preserve">Recent advances in deep learning, and specifically Transformer architectures (Vaswani et al., 2017 — as cited in the system documentation), offer a principled framework for learning rich representations of both problem content and user behavior. Multi-task learning enables joint optimization over complementary signals such as solve probability, perceived helpfulness, and difficulty appropriateness.</w:t>
      </w:r>
    </w:p>
    <w:p>
      <w:pPr>
        <w:spacing w:after="100" w:before="80"/>
        <w:jc w:val="both"/>
      </w:pPr>
      <w:r>
        <w:rPr>
          <w:rFonts w:ascii="Arial" w:cs="Arial" w:eastAsia="Arial" w:hAnsi="Arial"/>
          <w:i w:val="false"/>
          <w:iCs w:val="false"/>
          <w:sz w:val="22"/>
          <w:szCs w:val="22"/>
        </w:rPr>
        <w:t xml:space="preserve">This paper presents a complete empirical account of a self-implemented system that applies these techniques to the domain of competitive programming problem recommendation. The primary contributions documented herein are:</w:t>
      </w:r>
    </w:p>
    <w:p>
      <w:pPr>
        <w:pStyle w:val="ListParagraph"/>
        <w:numPr>
          <w:ilvl w:val="0"/>
          <w:numId w:val="2"/>
        </w:numPr>
        <w:spacing w:after="60" w:before="60"/>
      </w:pPr>
      <w:r>
        <w:rPr>
          <w:rFonts w:ascii="Arial" w:cs="Arial" w:eastAsia="Arial" w:hAnsi="Arial"/>
          <w:sz w:val="22"/>
          <w:szCs w:val="22"/>
        </w:rPr>
        <w:t xml:space="preserve">A Transformer-based Problem Encoder pre-trained via contrastive learning on a corpus of 3,433 LeetCode problems.</w:t>
      </w:r>
    </w:p>
    <w:p>
      <w:pPr>
        <w:pStyle w:val="ListParagraph"/>
        <w:numPr>
          <w:ilvl w:val="0"/>
          <w:numId w:val="2"/>
        </w:numPr>
        <w:spacing w:after="60" w:before="60"/>
      </w:pPr>
      <w:r>
        <w:rPr>
          <w:rFonts w:ascii="Arial" w:cs="Arial" w:eastAsia="Arial" w:hAnsi="Arial"/>
          <w:sz w:val="22"/>
          <w:szCs w:val="22"/>
        </w:rPr>
        <w:t xml:space="preserve">A dual-mode User Encoder with gated fusion of sequential and skill-profile representations.</w:t>
      </w:r>
    </w:p>
    <w:p>
      <w:pPr>
        <w:pStyle w:val="ListParagraph"/>
        <w:numPr>
          <w:ilvl w:val="0"/>
          <w:numId w:val="2"/>
        </w:numPr>
        <w:spacing w:after="60" w:before="60"/>
      </w:pPr>
      <w:r>
        <w:rPr>
          <w:rFonts w:ascii="Arial" w:cs="Arial" w:eastAsia="Arial" w:hAnsi="Arial"/>
          <w:sz w:val="22"/>
          <w:szCs w:val="22"/>
        </w:rPr>
        <w:t xml:space="preserve">A Multi-Task Recommender Model producing three simultaneous outputs: solve probability, helpfulness probability, and difficulty match classification.</w:t>
      </w:r>
    </w:p>
    <w:p>
      <w:pPr>
        <w:pStyle w:val="ListParagraph"/>
        <w:numPr>
          <w:ilvl w:val="0"/>
          <w:numId w:val="2"/>
        </w:numPr>
        <w:spacing w:after="60" w:before="60"/>
      </w:pPr>
      <w:r>
        <w:rPr>
          <w:rFonts w:ascii="Arial" w:cs="Arial" w:eastAsia="Arial" w:hAnsi="Arial"/>
          <w:sz w:val="22"/>
          <w:szCs w:val="22"/>
        </w:rPr>
        <w:t xml:space="preserve">Comprehensive empirical evaluation including encoder quality, classification metrics, ranking metrics, calibration analysis, inference latency benchmarking, and attention quality assessment.</w:t>
      </w:r>
    </w:p>
    <w:p>
      <w:pPr>
        <w:pStyle w:val="ListParagraph"/>
        <w:numPr>
          <w:ilvl w:val="0"/>
          <w:numId w:val="2"/>
        </w:numPr>
        <w:spacing w:after="60" w:before="60"/>
      </w:pPr>
      <w:r>
        <w:rPr>
          <w:rFonts w:ascii="Arial" w:cs="Arial" w:eastAsia="Arial" w:hAnsi="Arial"/>
          <w:sz w:val="22"/>
          <w:szCs w:val="22"/>
        </w:rPr>
        <w:t xml:space="preserve">Documented comparison with a rule-based baseline system across interpretability, latency, and estimated accuracy dimensions.</w:t>
      </w:r>
    </w:p>
    <w:p>
      <w:r>
        <w:rPr>
          <w:sz w:val="22"/>
          <w:szCs w:val="22"/>
        </w:rPr>
        <w:t xml:space="preserve"/>
      </w:r>
    </w:p>
    <w:p>
      <w:pPr>
        <w:pStyle w:val="Heading1"/>
        <w:spacing w:after="200" w:before="360"/>
      </w:pPr>
      <w:r>
        <w:rPr>
          <w:rFonts w:ascii="Arial" w:cs="Arial" w:eastAsia="Arial" w:hAnsi="Arial"/>
          <w:b/>
          <w:bCs/>
          <w:color w:val="1F3864"/>
          <w:sz w:val="32"/>
          <w:szCs w:val="32"/>
        </w:rPr>
        <w:t xml:space="preserve">2. Related Work</w:t>
      </w:r>
    </w:p>
    <w:p>
      <w:pPr>
        <w:spacing w:after="100" w:before="80"/>
        <w:jc w:val="both"/>
      </w:pPr>
      <w:r>
        <w:rPr>
          <w:rFonts w:ascii="Arial" w:cs="Arial" w:eastAsia="Arial" w:hAnsi="Arial"/>
          <w:i w:val="false"/>
          <w:iCs w:val="false"/>
          <w:sz w:val="22"/>
          <w:szCs w:val="22"/>
        </w:rPr>
        <w:t xml:space="preserve">The system documentation explicitly cites the following references, which constitute the entirety of attributable prior work discussed in the provided context. No additional external literature is cited beyond what appears in the supplied materials.</w:t>
      </w:r>
    </w:p>
    <w:p>
      <w:pPr>
        <w:pStyle w:val="ListParagraph"/>
        <w:numPr>
          <w:ilvl w:val="0"/>
          <w:numId w:val="2"/>
        </w:numPr>
        <w:spacing w:after="60" w:before="60"/>
      </w:pPr>
      <w:r>
        <w:rPr>
          <w:rFonts w:ascii="Arial" w:cs="Arial" w:eastAsia="Arial" w:hAnsi="Arial"/>
          <w:sz w:val="22"/>
          <w:szCs w:val="22"/>
        </w:rPr>
        <w:t xml:space="preserve">Vaswani et al. (2017): "Attention Is All You Need" — foundational Transformer architecture.</w:t>
      </w:r>
    </w:p>
    <w:p>
      <w:pPr>
        <w:pStyle w:val="ListParagraph"/>
        <w:numPr>
          <w:ilvl w:val="0"/>
          <w:numId w:val="2"/>
        </w:numPr>
        <w:spacing w:after="60" w:before="60"/>
      </w:pPr>
      <w:r>
        <w:rPr>
          <w:rFonts w:ascii="Arial" w:cs="Arial" w:eastAsia="Arial" w:hAnsi="Arial"/>
          <w:sz w:val="22"/>
          <w:szCs w:val="22"/>
        </w:rPr>
        <w:t xml:space="preserve">Kingma &amp; Ba (2015): "Adam: A Method for Stochastic Optimization" — optimizer underpinning the self-implemented Adam.</w:t>
      </w:r>
    </w:p>
    <w:p>
      <w:pPr>
        <w:pStyle w:val="ListParagraph"/>
        <w:numPr>
          <w:ilvl w:val="0"/>
          <w:numId w:val="2"/>
        </w:numPr>
        <w:spacing w:after="60" w:before="60"/>
      </w:pPr>
      <w:r>
        <w:rPr>
          <w:rFonts w:ascii="Arial" w:cs="Arial" w:eastAsia="Arial" w:hAnsi="Arial"/>
          <w:sz w:val="22"/>
          <w:szCs w:val="22"/>
        </w:rPr>
        <w:t xml:space="preserve">Kendall et al. (2018): "Multi-Task Learning Using Uncertainty to Weigh Losses" — motivation for multi-task training.</w:t>
      </w:r>
    </w:p>
    <w:p>
      <w:pPr>
        <w:pStyle w:val="ListParagraph"/>
        <w:numPr>
          <w:ilvl w:val="0"/>
          <w:numId w:val="2"/>
        </w:numPr>
        <w:spacing w:after="60" w:before="60"/>
      </w:pPr>
      <w:r>
        <w:rPr>
          <w:rFonts w:ascii="Arial" w:cs="Arial" w:eastAsia="Arial" w:hAnsi="Arial"/>
          <w:sz w:val="22"/>
          <w:szCs w:val="22"/>
        </w:rPr>
        <w:t xml:space="preserve">Chen et al. (2020): "A Simple Framework for Contrastive Learning of Visual Representations" — contrastive pre-training approach.</w:t>
      </w:r>
    </w:p>
    <w:p>
      <w:pPr>
        <w:spacing w:after="100" w:before="80"/>
        <w:jc w:val="both"/>
      </w:pPr>
      <w:r>
        <w:rPr>
          <w:rFonts w:ascii="Arial" w:cs="Arial" w:eastAsia="Arial" w:hAnsi="Arial"/>
          <w:i/>
          <w:iCs/>
          <w:sz w:val="22"/>
          <w:szCs w:val="22"/>
        </w:rPr>
        <w:t xml:space="preserve">No additional external references are provided in the available context.</w:t>
      </w:r>
    </w:p>
    <w:p>
      <w:r>
        <w:rPr>
          <w:sz w:val="22"/>
          <w:szCs w:val="22"/>
        </w:rPr>
        <w:t xml:space="preserve"/>
      </w:r>
    </w:p>
    <w:p>
      <w:pPr>
        <w:pStyle w:val="Heading1"/>
        <w:spacing w:after="200" w:before="360"/>
      </w:pPr>
      <w:r>
        <w:rPr>
          <w:rFonts w:ascii="Arial" w:cs="Arial" w:eastAsia="Arial" w:hAnsi="Arial"/>
          <w:b/>
          <w:bCs/>
          <w:color w:val="1F3864"/>
          <w:sz w:val="32"/>
          <w:szCs w:val="32"/>
        </w:rPr>
        <w:t xml:space="preserve">3. Methodology</w:t>
      </w:r>
    </w:p>
    <w:p>
      <w:pPr>
        <w:pStyle w:val="Heading2"/>
        <w:spacing w:after="160" w:before="280"/>
      </w:pPr>
      <w:r>
        <w:rPr>
          <w:rFonts w:ascii="Arial" w:cs="Arial" w:eastAsia="Arial" w:hAnsi="Arial"/>
          <w:b/>
          <w:bCs/>
          <w:color w:val="2E75B6"/>
          <w:sz w:val="26"/>
          <w:szCs w:val="26"/>
        </w:rPr>
        <w:t xml:space="preserve">3.1 System Overview</w:t>
      </w:r>
    </w:p>
    <w:p>
      <w:pPr>
        <w:spacing w:after="100" w:before="80"/>
        <w:jc w:val="both"/>
      </w:pPr>
      <w:r>
        <w:rPr>
          <w:rFonts w:ascii="Arial" w:cs="Arial" w:eastAsia="Arial" w:hAnsi="Arial"/>
          <w:i w:val="false"/>
          <w:iCs w:val="false"/>
          <w:sz w:val="22"/>
          <w:szCs w:val="22"/>
        </w:rPr>
        <w:t xml:space="preserve">The system operates as a three-stage pipeline. First, the Problem Encoder transforms raw problem metadata (title, description, tags, difficulty) into a 64-dimensional L2-normalized embedding. Second, the User Encoder ingests the user's interaction history and skill profile to produce a 64-dimensional user embedding. Third, the Recommender Model combines both embeddings through a structured interaction layer and three residual blocks, producing multi-task prediction outputs.</w:t>
      </w:r>
    </w:p>
    <w:p>
      <w:pPr>
        <w:pStyle w:val="Heading2"/>
        <w:spacing w:after="160" w:before="280"/>
      </w:pPr>
      <w:r>
        <w:rPr>
          <w:rFonts w:ascii="Arial" w:cs="Arial" w:eastAsia="Arial" w:hAnsi="Arial"/>
          <w:b/>
          <w:bCs/>
          <w:color w:val="2E75B6"/>
          <w:sz w:val="26"/>
          <w:szCs w:val="26"/>
        </w:rPr>
        <w:t xml:space="preserve">3.2 Problem Encoder</w:t>
      </w:r>
    </w:p>
    <w:p>
      <w:pPr>
        <w:spacing w:after="100" w:before="80"/>
        <w:jc w:val="both"/>
      </w:pPr>
      <w:r>
        <w:rPr>
          <w:rFonts w:ascii="Arial" w:cs="Arial" w:eastAsia="Arial" w:hAnsi="Arial"/>
          <w:i w:val="false"/>
          <w:iCs w:val="false"/>
          <w:sz w:val="22"/>
          <w:szCs w:val="22"/>
        </w:rPr>
        <w:t xml:space="preserve">The Problem Encoder is a Transformer encoder with 3 layers, 4 attention heads, a model dimension of 128, a feed-forward inner dimension of 512, and a maximum sequence length of 64 tokens. The vocabulary size is 2,329 tokens. A [CLS] token is prepended to each sequence, and its final-layer representation is projected from 128 to 64 dimensions and L2-normalized to produce the problem embedding.</w:t>
      </w:r>
    </w:p>
    <w:p>
      <w:pPr>
        <w:spacing w:after="100" w:before="80"/>
        <w:jc w:val="both"/>
      </w:pPr>
      <w:r>
        <w:rPr>
          <w:rFonts w:ascii="Arial" w:cs="Arial" w:eastAsia="Arial" w:hAnsi="Arial"/>
          <w:i w:val="false"/>
          <w:iCs w:val="false"/>
          <w:sz w:val="22"/>
          <w:szCs w:val="22"/>
        </w:rPr>
        <w:t xml:space="preserve">Token embeddings are scaled by sqrt(d_model) before summation with sinusoidal positional encodings. Topic tags and difficulty level are injected at the [CLS] position via learned embeddings. Pre-layer normalization (Pre-LN) is applied before each sub-layer for training stability, alongside residual connections.</w:t>
      </w:r>
    </w:p>
    <w:p>
      <w:pPr>
        <w:spacing w:after="100" w:before="80"/>
        <w:jc w:val="both"/>
      </w:pPr>
      <w:r>
        <w:rPr>
          <w:rFonts w:ascii="Arial" w:cs="Arial" w:eastAsia="Arial" w:hAnsi="Arial"/>
          <w:i w:val="false"/>
          <w:iCs w:val="false"/>
          <w:sz w:val="22"/>
          <w:szCs w:val="22"/>
        </w:rPr>
        <w:t xml:space="preserve">The encoder is pre-trained using InfoNCE (NT-Xent) contrastive loss at temperature τ = 0.2, with problems from the same topic cluster constituting positive pairs and problems from different clusters constituting negatives.</w:t>
      </w:r>
    </w:p>
    <w:p>
      <w:pPr>
        <w:pStyle w:val="Heading2"/>
        <w:spacing w:after="160" w:before="280"/>
      </w:pPr>
      <w:r>
        <w:rPr>
          <w:rFonts w:ascii="Arial" w:cs="Arial" w:eastAsia="Arial" w:hAnsi="Arial"/>
          <w:b/>
          <w:bCs/>
          <w:color w:val="2E75B6"/>
          <w:sz w:val="26"/>
          <w:szCs w:val="26"/>
        </w:rPr>
        <w:t xml:space="preserve">3.3 User Encoder</w:t>
      </w:r>
    </w:p>
    <w:p>
      <w:pPr>
        <w:spacing w:after="100" w:before="80"/>
        <w:jc w:val="both"/>
      </w:pPr>
      <w:r>
        <w:rPr>
          <w:rFonts w:ascii="Arial" w:cs="Arial" w:eastAsia="Arial" w:hAnsi="Arial"/>
          <w:i w:val="false"/>
          <w:iCs w:val="false"/>
          <w:sz w:val="22"/>
          <w:szCs w:val="22"/>
        </w:rPr>
        <w:t xml:space="preserve">The User Encoder employs two parallel encoding modes fused via a learned gate mechanism.</w:t>
      </w:r>
    </w:p>
    <w:p>
      <w:pPr>
        <w:spacing w:after="100" w:before="80"/>
        <w:jc w:val="both"/>
      </w:pPr>
      <w:r>
        <w:rPr>
          <w:rFonts w:ascii="Arial" w:cs="Arial" w:eastAsia="Arial" w:hAnsi="Arial"/>
          <w:i w:val="false"/>
          <w:iCs w:val="false"/>
          <w:sz w:val="22"/>
          <w:szCs w:val="22"/>
        </w:rPr>
        <w:t xml:space="preserve">Mode A (Sequential Encoder) applies a Transformer over the chronologically ordered sequence of solved problem embeddings, prepended by a learned [USER] token. Learnable positional encodings capture temporal order, and difficulty embeddings are injected at each position.</w:t>
      </w:r>
    </w:p>
    <w:p>
      <w:pPr>
        <w:spacing w:after="100" w:before="80"/>
        <w:jc w:val="both"/>
      </w:pPr>
      <w:r>
        <w:rPr>
          <w:rFonts w:ascii="Arial" w:cs="Arial" w:eastAsia="Arial" w:hAnsi="Arial"/>
          <w:i w:val="false"/>
          <w:iCs w:val="false"/>
          <w:sz w:val="22"/>
          <w:szCs w:val="22"/>
        </w:rPr>
        <w:t xml:space="preserve">Mode B (Skill Profile Encoder) applies a two-layer MLP with GELU activation and dropout to a 44-dimensional skill vector comprising topic counts, difficulty ratios, and streak length.</w:t>
      </w:r>
    </w:p>
    <w:p>
      <w:pPr>
        <w:spacing w:after="100" w:before="80"/>
        <w:jc w:val="both"/>
      </w:pPr>
      <w:r>
        <w:rPr>
          <w:rFonts w:ascii="Arial" w:cs="Arial" w:eastAsia="Arial" w:hAnsi="Arial"/>
          <w:i w:val="false"/>
          <w:iCs w:val="false"/>
          <w:sz w:val="22"/>
          <w:szCs w:val="22"/>
        </w:rPr>
        <w:t xml:space="preserve">The gated fusion is computed as: gate = sigmoid(W [seq_emb; skill_emb]), user_emb = gate × seq_emb + (1 − gate) × skill_emb. The final user embedding is L2-normalized.</w:t>
      </w:r>
    </w:p>
    <w:p>
      <w:pPr>
        <w:pStyle w:val="Heading2"/>
        <w:spacing w:after="160" w:before="280"/>
      </w:pPr>
      <w:r>
        <w:rPr>
          <w:rFonts w:ascii="Arial" w:cs="Arial" w:eastAsia="Arial" w:hAnsi="Arial"/>
          <w:b/>
          <w:bCs/>
          <w:color w:val="2E75B6"/>
          <w:sz w:val="26"/>
          <w:szCs w:val="26"/>
        </w:rPr>
        <w:t xml:space="preserve">3.4 Recommender Model</w:t>
      </w:r>
    </w:p>
    <w:p>
      <w:pPr>
        <w:spacing w:after="100" w:before="80"/>
        <w:jc w:val="both"/>
      </w:pPr>
      <w:r>
        <w:rPr>
          <w:rFonts w:ascii="Arial" w:cs="Arial" w:eastAsia="Arial" w:hAnsi="Arial"/>
          <w:i w:val="false"/>
          <w:iCs w:val="false"/>
          <w:sz w:val="22"/>
          <w:szCs w:val="22"/>
        </w:rPr>
        <w:t xml:space="preserve">The Recommender Model constructs an interaction representation from the user and problem embeddings using element-wise product, concatenation, and absolute difference, yielding a 256-dimensional vector. This passes through three ResidualBlocks with LayerNorm, producing three output heads: p_solve (sigmoid), p_helpful (sigmoid), and p_difficulty (softmax over three classes: too_easy, just_right, too_hard).</w:t>
      </w:r>
    </w:p>
    <w:p>
      <w:pPr>
        <w:spacing w:after="100" w:before="80"/>
        <w:jc w:val="both"/>
      </w:pPr>
      <w:r>
        <w:rPr>
          <w:rFonts w:ascii="Arial" w:cs="Arial" w:eastAsia="Arial" w:hAnsi="Arial"/>
          <w:i w:val="false"/>
          <w:iCs w:val="false"/>
          <w:sz w:val="22"/>
          <w:szCs w:val="22"/>
        </w:rPr>
        <w:t xml:space="preserve">The combined loss is: L = 0.4 × BCE(p_solve, y_solve) + 0.3 × BCE(p_helpful, y_helpful) + 0.3 × CE(p_difficulty, y_difficulty).</w:t>
      </w:r>
    </w:p>
    <w:p>
      <w:pPr>
        <w:pStyle w:val="Heading2"/>
        <w:spacing w:after="160" w:before="280"/>
      </w:pPr>
      <w:r>
        <w:rPr>
          <w:rFonts w:ascii="Arial" w:cs="Arial" w:eastAsia="Arial" w:hAnsi="Arial"/>
          <w:b/>
          <w:bCs/>
          <w:color w:val="2E75B6"/>
          <w:sz w:val="26"/>
          <w:szCs w:val="26"/>
        </w:rPr>
        <w:t xml:space="preserve">3.5 Optimizer and Learning Rate Schedule</w:t>
      </w:r>
    </w:p>
    <w:p>
      <w:pPr>
        <w:spacing w:after="100" w:before="80"/>
        <w:jc w:val="both"/>
      </w:pPr>
      <w:r>
        <w:rPr>
          <w:rFonts w:ascii="Arial" w:cs="Arial" w:eastAsia="Arial" w:hAnsi="Arial"/>
          <w:i w:val="false"/>
          <w:iCs w:val="false"/>
          <w:sz w:val="22"/>
          <w:szCs w:val="22"/>
        </w:rPr>
        <w:t xml:space="preserve">Optimization is performed using a self-implemented AdamW optimizer (lr = 3×10⁻⁴, weight_decay = 0.01) with gradient clipping at max_grad_norm = 1.0. A warmup cosine annealing schedule is applied, with warmup over 10% of total steps followed by cosine decay from 3×10⁻⁴ to 3×10⁻⁶.</w:t>
      </w:r>
    </w:p>
    <w:p>
      <w:pPr>
        <w:pStyle w:val="Heading2"/>
        <w:spacing w:after="160" w:before="280"/>
      </w:pPr>
      <w:r>
        <w:rPr>
          <w:rFonts w:ascii="Arial" w:cs="Arial" w:eastAsia="Arial" w:hAnsi="Arial"/>
          <w:b/>
          <w:bCs/>
          <w:color w:val="2E75B6"/>
          <w:sz w:val="26"/>
          <w:szCs w:val="26"/>
        </w:rPr>
        <w:t xml:space="preserve">3.6 Exploration Strategies</w:t>
      </w:r>
    </w:p>
    <w:p>
      <w:pPr>
        <w:spacing w:after="100" w:before="80"/>
        <w:jc w:val="both"/>
      </w:pPr>
      <w:r>
        <w:rPr>
          <w:rFonts w:ascii="Arial" w:cs="Arial" w:eastAsia="Arial" w:hAnsi="Arial"/>
          <w:i w:val="false"/>
          <w:iCs w:val="false"/>
          <w:sz w:val="22"/>
          <w:szCs w:val="22"/>
        </w:rPr>
        <w:t xml:space="preserve">At inference time, two exploration strategies are supported. Epsilon-greedy randomly selects a problem with probability ε and selects the highest-scoring problem otherwise. Upper Confidence Bound (UCB1) augments the model score with a confidence term: UCB_score = model_score + c × sqrt(log(N) / n_i), where N is total observations and n_i is the observation count for problem i.</w:t>
      </w:r>
    </w:p>
    <w:p>
      <w:r>
        <w:rPr>
          <w:sz w:val="22"/>
          <w:szCs w:val="22"/>
        </w:rPr>
        <w:t xml:space="preserve"/>
      </w:r>
    </w:p>
    <w:p>
      <w:pPr>
        <w:pStyle w:val="Heading1"/>
        <w:spacing w:after="200" w:before="360"/>
      </w:pPr>
      <w:r>
        <w:rPr>
          <w:rFonts w:ascii="Arial" w:cs="Arial" w:eastAsia="Arial" w:hAnsi="Arial"/>
          <w:b/>
          <w:bCs/>
          <w:color w:val="1F3864"/>
          <w:sz w:val="32"/>
          <w:szCs w:val="32"/>
        </w:rPr>
        <w:t xml:space="preserve">4. Experimental Setup</w:t>
      </w:r>
    </w:p>
    <w:p>
      <w:pPr>
        <w:pStyle w:val="Heading2"/>
        <w:spacing w:after="160" w:before="280"/>
      </w:pPr>
      <w:r>
        <w:rPr>
          <w:rFonts w:ascii="Arial" w:cs="Arial" w:eastAsia="Arial" w:hAnsi="Arial"/>
          <w:b/>
          <w:bCs/>
          <w:color w:val="2E75B6"/>
          <w:sz w:val="26"/>
          <w:szCs w:val="26"/>
        </w:rPr>
        <w:t xml:space="preserve">4.1 Dataset</w:t>
      </w:r>
    </w:p>
    <w:p>
      <w:pPr>
        <w:spacing w:after="100" w:before="80"/>
        <w:jc w:val="both"/>
      </w:pPr>
      <w:r>
        <w:rPr>
          <w:rFonts w:ascii="Arial" w:cs="Arial" w:eastAsia="Arial" w:hAnsi="Arial"/>
          <w:i w:val="false"/>
          <w:iCs w:val="false"/>
          <w:sz w:val="22"/>
          <w:szCs w:val="22"/>
        </w:rPr>
        <w:t xml:space="preserve">The problem dataset comprises 3,851 total problems from a LeetCode Questions XLSX file, of which 3,433 are algorithmically categorized and used for encoder training. Difficulty distribution (as documented): approximately 35% Easy, 47% Medium, 18% Hard. The problems span over 40 topics and are grouped into 11 topic clusters for contrastive pre-training.</w:t>
      </w:r>
    </w:p>
    <w:p>
      <w:pPr>
        <w:spacing w:after="100" w:before="80"/>
        <w:jc w:val="both"/>
      </w:pPr>
      <w:r>
        <w:rPr>
          <w:rFonts w:ascii="Arial" w:cs="Arial" w:eastAsia="Arial" w:hAnsi="Arial"/>
          <w:i w:val="false"/>
          <w:iCs w:val="false"/>
          <w:sz w:val="22"/>
          <w:szCs w:val="22"/>
        </w:rPr>
        <w:t xml:space="preserve">For recommendation model training, 12,000 synthetic user-problem interaction records were generated, representing 300 synthetic users (100 each of Beginner, Intermediate, and Advanced) with 40 interactions per user. Ground-truth labels cover solve outcome, helpfulness, and difficulty felt (balanced across three classes). No real user interaction data was employed in the training reported herein.</w:t>
      </w:r>
    </w:p>
    <w:p>
      <w:pPr>
        <w:pStyle w:val="Heading2"/>
        <w:spacing w:after="160" w:before="280"/>
      </w:pPr>
      <w:r>
        <w:rPr>
          <w:rFonts w:ascii="Arial" w:cs="Arial" w:eastAsia="Arial" w:hAnsi="Arial"/>
          <w:b/>
          <w:bCs/>
          <w:color w:val="2E75B6"/>
          <w:sz w:val="26"/>
          <w:szCs w:val="26"/>
        </w:rPr>
        <w:t xml:space="preserve">4.2 Training Configuration</w:t>
      </w:r>
    </w:p>
    <w:p>
      <w:pPr>
        <w:spacing w:after="100" w:before="80"/>
        <w:jc w:val="both"/>
      </w:pPr>
      <w:r>
        <w:rPr>
          <w:rFonts w:ascii="Arial" w:cs="Arial" w:eastAsia="Arial" w:hAnsi="Arial"/>
          <w:i w:val="false"/>
          <w:iCs w:val="false"/>
          <w:sz w:val="22"/>
          <w:szCs w:val="22"/>
        </w:rPr>
        <w:t xml:space="preserve">Stage 1 (Pre-training): 15 epochs on the 3,433-problem corpus, batch size 64, AdamW, InfoNCE loss at τ = 0.2. Approximate duration: 15 minutes on CPU.</w:t>
      </w:r>
    </w:p>
    <w:p>
      <w:pPr>
        <w:spacing w:after="100" w:before="80"/>
        <w:jc w:val="both"/>
      </w:pPr>
      <w:r>
        <w:rPr>
          <w:rFonts w:ascii="Arial" w:cs="Arial" w:eastAsia="Arial" w:hAnsi="Arial"/>
          <w:i w:val="false"/>
          <w:iCs w:val="false"/>
          <w:sz w:val="22"/>
          <w:szCs w:val="22"/>
        </w:rPr>
        <w:t xml:space="preserve">Stage 2 (Recommendation Model): 30 epochs on the 12,000 synthetic interactions, batch size 64, AdamW, weighted multi-task loss. Approximate duration: 30 minutes on CPU. Best validation checkpoint selected at epoch 5.</w:t>
      </w:r>
    </w:p>
    <w:p>
      <w:pPr>
        <w:pStyle w:val="Heading2"/>
        <w:spacing w:after="160" w:before="280"/>
      </w:pPr>
      <w:r>
        <w:rPr>
          <w:rFonts w:ascii="Arial" w:cs="Arial" w:eastAsia="Arial" w:hAnsi="Arial"/>
          <w:b/>
          <w:bCs/>
          <w:color w:val="2E75B6"/>
          <w:sz w:val="26"/>
          <w:szCs w:val="26"/>
        </w:rPr>
        <w:t xml:space="preserve">4.3 Evaluation Metrics</w:t>
      </w:r>
    </w:p>
    <w:p>
      <w:pPr>
        <w:spacing w:after="100" w:before="80"/>
        <w:jc w:val="both"/>
      </w:pPr>
      <w:r>
        <w:rPr>
          <w:rFonts w:ascii="Arial" w:cs="Arial" w:eastAsia="Arial" w:hAnsi="Arial"/>
          <w:i w:val="false"/>
          <w:iCs w:val="false"/>
          <w:sz w:val="22"/>
          <w:szCs w:val="22"/>
        </w:rPr>
        <w:t xml:space="preserve">The evaluation framework encompasses five categories of metrics drawn from the provided evaluation_report.json and supporting documentation:</w:t>
      </w:r>
    </w:p>
    <w:p>
      <w:pPr>
        <w:pStyle w:val="ListParagraph"/>
        <w:numPr>
          <w:ilvl w:val="0"/>
          <w:numId w:val="2"/>
        </w:numPr>
        <w:spacing w:after="60" w:before="60"/>
      </w:pPr>
      <w:r>
        <w:rPr>
          <w:rFonts w:ascii="Arial" w:cs="Arial" w:eastAsia="Arial" w:hAnsi="Arial"/>
          <w:sz w:val="22"/>
          <w:szCs w:val="22"/>
        </w:rPr>
        <w:t xml:space="preserve">Encoder Quality: Cluster purity (nearest-neighbor), embedding alignment loss, uniformity loss, contrastive loss.</w:t>
      </w:r>
    </w:p>
    <w:p>
      <w:pPr>
        <w:pStyle w:val="ListParagraph"/>
        <w:numPr>
          <w:ilvl w:val="0"/>
          <w:numId w:val="2"/>
        </w:numPr>
        <w:spacing w:after="60" w:before="60"/>
      </w:pPr>
      <w:r>
        <w:rPr>
          <w:rFonts w:ascii="Arial" w:cs="Arial" w:eastAsia="Arial" w:hAnsi="Arial"/>
          <w:sz w:val="22"/>
          <w:szCs w:val="22"/>
        </w:rPr>
        <w:t xml:space="preserve">Classification Performance: Accuracy, AUC, F1, Brier Score for solve and helpful predictions; accuracy and per-class accuracy for difficulty prediction.</w:t>
      </w:r>
    </w:p>
    <w:p>
      <w:pPr>
        <w:pStyle w:val="ListParagraph"/>
        <w:numPr>
          <w:ilvl w:val="0"/>
          <w:numId w:val="2"/>
        </w:numPr>
        <w:spacing w:after="60" w:before="60"/>
      </w:pPr>
      <w:r>
        <w:rPr>
          <w:rFonts w:ascii="Arial" w:cs="Arial" w:eastAsia="Arial" w:hAnsi="Arial"/>
          <w:sz w:val="22"/>
          <w:szCs w:val="22"/>
        </w:rPr>
        <w:t xml:space="preserve">Ranking Performance: NDCG@5, NDCG@10, NDCG@20, Precision@k, Recall@k, MRR.</w:t>
      </w:r>
    </w:p>
    <w:p>
      <w:pPr>
        <w:pStyle w:val="ListParagraph"/>
        <w:numPr>
          <w:ilvl w:val="0"/>
          <w:numId w:val="2"/>
        </w:numPr>
        <w:spacing w:after="60" w:before="60"/>
      </w:pPr>
      <w:r>
        <w:rPr>
          <w:rFonts w:ascii="Arial" w:cs="Arial" w:eastAsia="Arial" w:hAnsi="Arial"/>
          <w:sz w:val="22"/>
          <w:szCs w:val="22"/>
        </w:rPr>
        <w:t xml:space="preserve">Calibration: Expected Calibration Error (ECE) for solve and helpful predictions, with per-bin confidence and accuracy analysis.</w:t>
      </w:r>
    </w:p>
    <w:p>
      <w:pPr>
        <w:pStyle w:val="ListParagraph"/>
        <w:numPr>
          <w:ilvl w:val="0"/>
          <w:numId w:val="2"/>
        </w:numPr>
        <w:spacing w:after="60" w:before="60"/>
      </w:pPr>
      <w:r>
        <w:rPr>
          <w:rFonts w:ascii="Arial" w:cs="Arial" w:eastAsia="Arial" w:hAnsi="Arial"/>
          <w:sz w:val="22"/>
          <w:szCs w:val="22"/>
        </w:rPr>
        <w:t xml:space="preserve">Inference Latency: Per-problem and batched throughput benchmarked at batch sizes 1, 10, 50, 100, and 200.</w:t>
      </w:r>
    </w:p>
    <w:p>
      <w:r>
        <w:rPr>
          <w:sz w:val="22"/>
          <w:szCs w:val="22"/>
        </w:rPr>
        <w:t xml:space="preserve"/>
      </w:r>
    </w:p>
    <w:p>
      <w:pPr>
        <w:pStyle w:val="Heading1"/>
        <w:spacing w:after="200" w:before="360"/>
      </w:pPr>
      <w:r>
        <w:rPr>
          <w:rFonts w:ascii="Arial" w:cs="Arial" w:eastAsia="Arial" w:hAnsi="Arial"/>
          <w:b/>
          <w:bCs/>
          <w:color w:val="1F3864"/>
          <w:sz w:val="32"/>
          <w:szCs w:val="32"/>
        </w:rPr>
        <w:t xml:space="preserve">5. Results</w:t>
      </w:r>
    </w:p>
    <w:p>
      <w:pPr>
        <w:pStyle w:val="Heading2"/>
        <w:spacing w:after="160" w:before="280"/>
      </w:pPr>
      <w:r>
        <w:rPr>
          <w:rFonts w:ascii="Arial" w:cs="Arial" w:eastAsia="Arial" w:hAnsi="Arial"/>
          <w:b/>
          <w:bCs/>
          <w:color w:val="2E75B6"/>
          <w:sz w:val="26"/>
          <w:szCs w:val="26"/>
        </w:rPr>
        <w:t xml:space="preserve">5.1 Encoder Quality</w:t>
      </w:r>
    </w:p>
    <w:p>
      <w:pPr>
        <w:spacing w:after="100" w:before="80"/>
        <w:jc w:val="both"/>
      </w:pPr>
      <w:r>
        <w:rPr>
          <w:rFonts w:ascii="Arial" w:cs="Arial" w:eastAsia="Arial" w:hAnsi="Arial"/>
          <w:i w:val="false"/>
          <w:iCs w:val="false"/>
          <w:sz w:val="22"/>
          <w:szCs w:val="22"/>
        </w:rPr>
        <w:t xml:space="preserve">Table 1 reports the problem encoder quality metrics derived from 512 evaluation samples.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Cluster Purity (NN)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99.22%</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Alignment Loss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0.0055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Uniformity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−0.8228</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Contrastive Loss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Mean Embedding Norm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(std ≈ 0)</w:t>
            </w:r>
          </w:p>
        </w:tc>
      </w:tr>
    </w:tbl>
    <w:p>
      <w:pPr>
        <w:spacing w:after="100" w:before="80"/>
        <w:jc w:val="both"/>
      </w:pPr>
      <w:r>
        <w:rPr>
          <w:rFonts w:ascii="Arial" w:cs="Arial" w:eastAsia="Arial" w:hAnsi="Arial"/>
          <w:i/>
          <w:iCs/>
          <w:sz w:val="22"/>
          <w:szCs w:val="22"/>
        </w:rPr>
        <w:t xml:space="preserve">Table 1: Problem Encoder Quality Metrics (n = 512 samples).</w:t>
      </w:r>
    </w:p>
    <w:p>
      <w:r>
        <w:rPr>
          <w:sz w:val="22"/>
          <w:szCs w:val="22"/>
        </w:rPr>
        <w:t xml:space="preserve"/>
      </w:r>
    </w:p>
    <w:p>
      <w:pPr>
        <w:spacing w:after="100" w:before="80"/>
        <w:jc w:val="both"/>
      </w:pPr>
      <w:r>
        <w:rPr>
          <w:rFonts w:ascii="Arial" w:cs="Arial" w:eastAsia="Arial" w:hAnsi="Arial"/>
          <w:i w:val="false"/>
          <w:iCs w:val="false"/>
          <w:sz w:val="22"/>
          <w:szCs w:val="22"/>
        </w:rPr>
        <w:t xml:space="preserve">Per-cluster purity achieved 100% for 10 out of 11 clusters (clusters 0–8 and 10). Cluster-level data for cluster 9 is not reported in the available evaluation output.</w:t>
      </w:r>
    </w:p>
    <w:p>
      <w:pPr>
        <w:pStyle w:val="Heading2"/>
        <w:spacing w:after="160" w:before="280"/>
      </w:pPr>
      <w:r>
        <w:rPr>
          <w:rFonts w:ascii="Arial" w:cs="Arial" w:eastAsia="Arial" w:hAnsi="Arial"/>
          <w:b/>
          <w:bCs/>
          <w:color w:val="2E75B6"/>
          <w:sz w:val="26"/>
          <w:szCs w:val="26"/>
        </w:rPr>
        <w:t xml:space="preserve">5.2 Training Convergence</w:t>
      </w:r>
    </w:p>
    <w:p>
      <w:pPr>
        <w:spacing w:after="100" w:before="80"/>
        <w:jc w:val="both"/>
      </w:pPr>
      <w:r>
        <w:rPr>
          <w:rFonts w:ascii="Arial" w:cs="Arial" w:eastAsia="Arial" w:hAnsi="Arial"/>
          <w:i w:val="false"/>
          <w:iCs w:val="false"/>
          <w:sz w:val="22"/>
          <w:szCs w:val="22"/>
        </w:rPr>
        <w:t xml:space="preserve">Table 2 summarizes training and validation losses across both training stages.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Epoch</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Train Loss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 Loss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Solve Acc.</w:t>
            </w:r>
          </w:p>
        </w:tc>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Helpful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Pre-training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Pre-training</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8 (best)</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2.94</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2.70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Pre-training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0.84</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0.78</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69%</w:t>
            </w:r>
          </w:p>
        </w:tc>
        <w:tc>
          <w:tcPr>
            <w:tcW w:type="dxa" w:w="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(best)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0.81</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74%</w:t>
            </w:r>
          </w:p>
        </w:tc>
        <w:tc>
          <w:tcPr>
            <w:tcW w:type="dxa" w:w="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Recommendation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0.42</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1.02</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75%</w:t>
            </w:r>
          </w:p>
        </w:tc>
        <w:tc>
          <w:tcPr>
            <w:tcW w:type="dxa" w:w="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75%</w:t>
            </w:r>
          </w:p>
        </w:tc>
      </w:tr>
    </w:tbl>
    <w:p>
      <w:pPr>
        <w:spacing w:after="100" w:before="80"/>
        <w:jc w:val="both"/>
      </w:pPr>
      <w:r>
        <w:rPr>
          <w:rFonts w:ascii="Arial" w:cs="Arial" w:eastAsia="Arial" w:hAnsi="Arial"/>
          <w:i/>
          <w:iCs/>
          <w:sz w:val="22"/>
          <w:szCs w:val="22"/>
        </w:rPr>
        <w:t xml:space="preserve">Table 2: Training and validation loss progression across both training stages.</w:t>
      </w:r>
    </w:p>
    <w:p>
      <w:r>
        <w:rPr>
          <w:sz w:val="22"/>
          <w:szCs w:val="22"/>
        </w:rPr>
        <w:t xml:space="preserve"/>
      </w:r>
    </w:p>
    <w:p>
      <w:pPr>
        <w:pStyle w:val="Heading2"/>
        <w:spacing w:after="160" w:before="280"/>
      </w:pPr>
      <w:r>
        <w:rPr>
          <w:rFonts w:ascii="Arial" w:cs="Arial" w:eastAsia="Arial" w:hAnsi="Arial"/>
          <w:b/>
          <w:bCs/>
          <w:color w:val="2E75B6"/>
          <w:sz w:val="26"/>
          <w:szCs w:val="26"/>
        </w:rPr>
        <w:t xml:space="preserve">5.3 Classification Performance</w:t>
      </w:r>
    </w:p>
    <w:p>
      <w:pPr>
        <w:spacing w:after="100" w:before="80"/>
        <w:jc w:val="both"/>
      </w:pPr>
      <w:r>
        <w:rPr>
          <w:rFonts w:ascii="Arial" w:cs="Arial" w:eastAsia="Arial" w:hAnsi="Arial"/>
          <w:i w:val="false"/>
          <w:iCs w:val="false"/>
          <w:sz w:val="22"/>
          <w:szCs w:val="22"/>
        </w:rPr>
        <w:t xml:space="preserve">Table 3 presents classification metrics evaluated on 300 validation samples.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80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74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Accuracy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61.33%</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AUC</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56.73%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Precision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69.12%</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Recall</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72.68%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F1 Score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70.85%</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Brier Score</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0.2847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Helpful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Accuracy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52.00%</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Helpful</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AUC</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48.19%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Helpful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Brier Score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0.3080</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Difficulty</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Overall Accuracy</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36.67%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Difficulty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Per-class: Too Easy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24.36%</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Difficulty</w:t>
            </w:r>
          </w:p>
        </w:tc>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Per-class: Just Right</w:t>
            </w:r>
          </w:p>
        </w:tc>
        <w:tc>
          <w:tcPr>
            <w:tcW w:type="dxa" w:w="374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51.77%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Difficulty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Per-class: Too Hard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22.22%</w:t>
            </w:r>
          </w:p>
        </w:tc>
      </w:tr>
    </w:tbl>
    <w:p>
      <w:pPr>
        <w:spacing w:after="100" w:before="80"/>
        <w:jc w:val="both"/>
      </w:pPr>
      <w:r>
        <w:rPr>
          <w:rFonts w:ascii="Arial" w:cs="Arial" w:eastAsia="Arial" w:hAnsi="Arial"/>
          <w:i/>
          <w:iCs/>
          <w:sz w:val="22"/>
          <w:szCs w:val="22"/>
        </w:rPr>
        <w:t xml:space="preserve">Table 3: Classification performance on the 300-sample validation set.</w:t>
      </w:r>
    </w:p>
    <w:p>
      <w:r>
        <w:rPr>
          <w:sz w:val="22"/>
          <w:szCs w:val="22"/>
        </w:rPr>
        <w:t xml:space="preserve"/>
      </w:r>
    </w:p>
    <w:p>
      <w:pPr>
        <w:pStyle w:val="Heading2"/>
        <w:spacing w:after="160" w:before="280"/>
      </w:pPr>
      <w:r>
        <w:rPr>
          <w:rFonts w:ascii="Arial" w:cs="Arial" w:eastAsia="Arial" w:hAnsi="Arial"/>
          <w:b/>
          <w:bCs/>
          <w:color w:val="2E75B6"/>
          <w:sz w:val="26"/>
          <w:szCs w:val="26"/>
        </w:rPr>
        <w:t xml:space="preserve">5.4 Ranking Performance</w:t>
      </w:r>
    </w:p>
    <w:p>
      <w:pPr>
        <w:spacing w:after="100" w:before="80"/>
        <w:jc w:val="both"/>
      </w:pPr>
      <w:r>
        <w:rPr>
          <w:rFonts w:ascii="Arial" w:cs="Arial" w:eastAsia="Arial" w:hAnsi="Arial"/>
          <w:i w:val="false"/>
          <w:iCs w:val="false"/>
          <w:sz w:val="22"/>
          <w:szCs w:val="22"/>
        </w:rPr>
        <w:t xml:space="preserve">Table 4 presents ranking metrics evaluated across 29 evaluation sessions.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Evaluation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NDCG@5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77.40%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Precision@5</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76.55%</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Recall@5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11.63%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NDCG@10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75.48%</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Precision@10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Recall@10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22.58%</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NDCG@20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74.74%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Precision@20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73.62%</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Recall@20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MRR</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89.66%</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29</w:t>
            </w:r>
          </w:p>
        </w:tc>
      </w:tr>
    </w:tbl>
    <w:p>
      <w:pPr>
        <w:spacing w:after="100" w:before="80"/>
        <w:jc w:val="both"/>
      </w:pPr>
      <w:r>
        <w:rPr>
          <w:rFonts w:ascii="Arial" w:cs="Arial" w:eastAsia="Arial" w:hAnsi="Arial"/>
          <w:i/>
          <w:iCs/>
          <w:sz w:val="22"/>
          <w:szCs w:val="22"/>
        </w:rPr>
        <w:t xml:space="preserve">Table 4: Ranking performance metrics across 29 evaluation sessions.</w:t>
      </w:r>
    </w:p>
    <w:p>
      <w:r>
        <w:rPr>
          <w:sz w:val="22"/>
          <w:szCs w:val="22"/>
        </w:rPr>
        <w:t xml:space="preserve"/>
      </w:r>
    </w:p>
    <w:p>
      <w:pPr>
        <w:pStyle w:val="Heading2"/>
        <w:spacing w:after="160" w:before="280"/>
      </w:pPr>
      <w:r>
        <w:rPr>
          <w:rFonts w:ascii="Arial" w:cs="Arial" w:eastAsia="Arial" w:hAnsi="Arial"/>
          <w:b/>
          <w:bCs/>
          <w:color w:val="2E75B6"/>
          <w:sz w:val="26"/>
          <w:szCs w:val="26"/>
        </w:rPr>
        <w:t xml:space="preserve">5.5 Calibration</w:t>
      </w:r>
    </w:p>
    <w:p>
      <w:pPr>
        <w:spacing w:after="100" w:before="80"/>
        <w:jc w:val="both"/>
      </w:pPr>
      <w:r>
        <w:rPr>
          <w:rFonts w:ascii="Arial" w:cs="Arial" w:eastAsia="Arial" w:hAnsi="Arial"/>
          <w:i w:val="false"/>
          <w:iCs w:val="false"/>
          <w:sz w:val="22"/>
          <w:szCs w:val="22"/>
        </w:rPr>
        <w:t xml:space="preserve">Table 5 summarizes calibration quality.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ECE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Solve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Poor (ECE ≥ 0.15)</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Helpful</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15.80%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Poor (ECE ≥ 0.15)</w:t>
            </w:r>
          </w:p>
        </w:tc>
      </w:tr>
    </w:tbl>
    <w:p>
      <w:pPr>
        <w:spacing w:after="100" w:before="80"/>
        <w:jc w:val="both"/>
      </w:pPr>
      <w:r>
        <w:rPr>
          <w:rFonts w:ascii="Arial" w:cs="Arial" w:eastAsia="Arial" w:hAnsi="Arial"/>
          <w:i/>
          <w:iCs/>
          <w:sz w:val="22"/>
          <w:szCs w:val="22"/>
        </w:rPr>
        <w:t xml:space="preserve">Table 5: Expected Calibration Error (ECE) for solve and helpful prediction tasks.</w:t>
      </w:r>
    </w:p>
    <w:p>
      <w:r>
        <w:rPr>
          <w:sz w:val="22"/>
          <w:szCs w:val="22"/>
        </w:rPr>
        <w:t xml:space="preserve"/>
      </w:r>
    </w:p>
    <w:p>
      <w:pPr>
        <w:pStyle w:val="Heading2"/>
        <w:spacing w:after="160" w:before="280"/>
      </w:pPr>
      <w:r>
        <w:rPr>
          <w:rFonts w:ascii="Arial" w:cs="Arial" w:eastAsia="Arial" w:hAnsi="Arial"/>
          <w:b/>
          <w:bCs/>
          <w:color w:val="2E75B6"/>
          <w:sz w:val="26"/>
          <w:szCs w:val="26"/>
        </w:rPr>
        <w:t xml:space="preserve">5.6 Inference Latency</w:t>
      </w:r>
    </w:p>
    <w:p>
      <w:pPr>
        <w:spacing w:after="100" w:before="80"/>
        <w:jc w:val="both"/>
      </w:pPr>
      <w:r>
        <w:rPr>
          <w:rFonts w:ascii="Arial" w:cs="Arial" w:eastAsia="Arial" w:hAnsi="Arial"/>
          <w:i w:val="false"/>
          <w:iCs w:val="false"/>
          <w:sz w:val="22"/>
          <w:szCs w:val="22"/>
        </w:rPr>
        <w:t xml:space="preserve">Table 6 documents measured inference latency at five candidate batch sizes.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560"/>
        <w:gridCol w:w="1872"/>
        <w:gridCol w:w="1560"/>
        <w:gridCol w:w="936"/>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Batch</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Prob. Enc. (ms)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 Enc. (ms)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Recommender (ms)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(ms)</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Throughput (prob/s)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100.5</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10</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13.65</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4.69</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2.88</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21.07</w:t>
            </w:r>
          </w:p>
        </w:tc>
        <w:tc>
          <w:tcPr>
            <w:tcW w:type="dxa" w:w="93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474.7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37.52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1,332.7</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100</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38.82</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4.54</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3.40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46.39</w:t>
            </w:r>
          </w:p>
        </w:tc>
        <w:tc>
          <w:tcPr>
            <w:tcW w:type="dxa" w:w="93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2,155.8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4.77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81.48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2,454.7</w:t>
            </w:r>
          </w:p>
        </w:tc>
      </w:tr>
    </w:tbl>
    <w:p>
      <w:pPr>
        <w:spacing w:after="100" w:before="80"/>
        <w:jc w:val="both"/>
      </w:pPr>
      <w:r>
        <w:rPr>
          <w:rFonts w:ascii="Arial" w:cs="Arial" w:eastAsia="Arial" w:hAnsi="Arial"/>
          <w:i/>
          <w:iCs/>
          <w:sz w:val="22"/>
          <w:szCs w:val="22"/>
        </w:rPr>
        <w:t xml:space="preserve">Table 6: Inference latency and throughput benchmarks across batch sizes (CPU).</w:t>
      </w:r>
    </w:p>
    <w:p>
      <w:r>
        <w:rPr>
          <w:sz w:val="22"/>
          <w:szCs w:val="22"/>
        </w:rPr>
        <w:t xml:space="preserve"/>
      </w:r>
    </w:p>
    <w:p>
      <w:pPr>
        <w:pStyle w:val="Heading2"/>
        <w:spacing w:after="160" w:before="280"/>
      </w:pPr>
      <w:r>
        <w:rPr>
          <w:rFonts w:ascii="Arial" w:cs="Arial" w:eastAsia="Arial" w:hAnsi="Arial"/>
          <w:b/>
          <w:bCs/>
          <w:color w:val="2E75B6"/>
          <w:sz w:val="26"/>
          <w:szCs w:val="26"/>
        </w:rPr>
        <w:t xml:space="preserve">5.7 Model Size</w:t>
      </w:r>
    </w:p>
    <w:p>
      <w:pPr>
        <w:spacing w:after="100" w:before="80"/>
        <w:jc w:val="both"/>
      </w:pPr>
      <w:r>
        <w:rPr>
          <w:rFonts w:ascii="Arial" w:cs="Arial" w:eastAsia="Arial" w:hAnsi="Arial"/>
          <w:i w:val="false"/>
          <w:iCs w:val="false"/>
          <w:sz w:val="22"/>
          <w:szCs w:val="22"/>
        </w:rPr>
        <w:t xml:space="preserve">Table 7 documents model parameter counts and storage requirements.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18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18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FP32 Size (MB)</w:t>
            </w:r>
          </w:p>
        </w:tc>
        <w:tc>
          <w:tcPr>
            <w:tcW w:type="dxa" w:w="218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FP16 Size (MB)</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Problem Encoder</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955,840</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1.82</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User Encoder</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132,800</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0.51</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0.25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Recommender</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511,749</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0.98</w:t>
            </w:r>
          </w:p>
        </w:tc>
      </w:tr>
      <w:tr>
        <w:tc>
          <w:tcPr>
            <w:tcW w:type="dxa" w:w="28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Total</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1,600,389</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6.10</w:t>
            </w:r>
          </w:p>
        </w:tc>
        <w:tc>
          <w:tcPr>
            <w:tcW w:type="dxa" w:w="218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3.05</w:t>
            </w:r>
          </w:p>
        </w:tc>
      </w:tr>
    </w:tbl>
    <w:p>
      <w:pPr>
        <w:spacing w:after="100" w:before="80"/>
        <w:jc w:val="both"/>
      </w:pPr>
      <w:r>
        <w:rPr>
          <w:rFonts w:ascii="Arial" w:cs="Arial" w:eastAsia="Arial" w:hAnsi="Arial"/>
          <w:i/>
          <w:iCs/>
          <w:sz w:val="22"/>
          <w:szCs w:val="22"/>
        </w:rPr>
        <w:t xml:space="preserve">Table 7: Model parameter counts and storage size by component.</w:t>
      </w:r>
    </w:p>
    <w:p>
      <w:r>
        <w:rPr>
          <w:sz w:val="22"/>
          <w:szCs w:val="22"/>
        </w:rPr>
        <w:t xml:space="preserve"/>
      </w:r>
    </w:p>
    <w:p>
      <w:pPr>
        <w:pStyle w:val="Heading2"/>
        <w:spacing w:after="160" w:before="280"/>
      </w:pPr>
      <w:r>
        <w:rPr>
          <w:rFonts w:ascii="Arial" w:cs="Arial" w:eastAsia="Arial" w:hAnsi="Arial"/>
          <w:b/>
          <w:bCs/>
          <w:color w:val="2E75B6"/>
          <w:sz w:val="26"/>
          <w:szCs w:val="26"/>
        </w:rPr>
        <w:t xml:space="preserve">5.8 Attention Quality</w:t>
      </w:r>
    </w:p>
    <w:p>
      <w:pPr>
        <w:spacing w:after="100" w:before="80"/>
        <w:jc w:val="both"/>
      </w:pPr>
      <w:r>
        <w:rPr>
          <w:rFonts w:ascii="Arial" w:cs="Arial" w:eastAsia="Arial" w:hAnsi="Arial"/>
          <w:i w:val="false"/>
          <w:iCs w:val="false"/>
          <w:sz w:val="22"/>
          <w:szCs w:val="22"/>
        </w:rPr>
        <w:t xml:space="preserve">Table 8 reports attention entropy and CLS concentration metrics measured across 224 samples.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0 Mean Entropy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2.0856</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Layer 1 Mean Entropy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1.9456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2 Mean Entropy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1.8796</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CLS Concentration Mean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62.63%</w:t>
            </w:r>
          </w:p>
        </w:tc>
      </w:tr>
    </w:tbl>
    <w:p>
      <w:pPr>
        <w:spacing w:after="100" w:before="80"/>
        <w:jc w:val="both"/>
      </w:pPr>
      <w:r>
        <w:rPr>
          <w:rFonts w:ascii="Arial" w:cs="Arial" w:eastAsia="Arial" w:hAnsi="Arial"/>
          <w:i/>
          <w:iCs/>
          <w:sz w:val="22"/>
          <w:szCs w:val="22"/>
        </w:rPr>
        <w:t xml:space="preserve">Table 8: Attention quality metrics across 224 samples.</w:t>
      </w:r>
    </w:p>
    <w:p>
      <w:r>
        <w:rPr>
          <w:sz w:val="22"/>
          <w:szCs w:val="22"/>
        </w:rPr>
        <w:t xml:space="preserve"/>
      </w:r>
    </w:p>
    <w:p>
      <w:pPr>
        <w:pStyle w:val="Heading1"/>
        <w:spacing w:after="200" w:before="360"/>
      </w:pPr>
      <w:r>
        <w:rPr>
          <w:rFonts w:ascii="Arial" w:cs="Arial" w:eastAsia="Arial" w:hAnsi="Arial"/>
          <w:b/>
          <w:bCs/>
          <w:color w:val="1F3864"/>
          <w:sz w:val="32"/>
          <w:szCs w:val="32"/>
        </w:rPr>
        <w:t xml:space="preserve">6. Analysis</w:t>
      </w:r>
    </w:p>
    <w:p>
      <w:pPr>
        <w:pStyle w:val="Heading2"/>
        <w:spacing w:after="160" w:before="280"/>
      </w:pPr>
      <w:r>
        <w:rPr>
          <w:rFonts w:ascii="Arial" w:cs="Arial" w:eastAsia="Arial" w:hAnsi="Arial"/>
          <w:b/>
          <w:bCs/>
          <w:color w:val="2E75B6"/>
          <w:sz w:val="26"/>
          <w:szCs w:val="26"/>
        </w:rPr>
        <w:t xml:space="preserve">6.1 Problem Encoder Representations</w:t>
      </w:r>
    </w:p>
    <w:p>
      <w:pPr>
        <w:spacing w:after="100" w:before="80"/>
        <w:jc w:val="both"/>
      </w:pPr>
      <w:r>
        <w:rPr>
          <w:rFonts w:ascii="Arial" w:cs="Arial" w:eastAsia="Arial" w:hAnsi="Arial"/>
          <w:i w:val="false"/>
          <w:iCs w:val="false"/>
          <w:sz w:val="22"/>
          <w:szCs w:val="22"/>
        </w:rPr>
        <w:t xml:space="preserve">The problem encoder achieves 99.22% nearest-neighbor cluster purity across 512 evaluation samples, with 10 of 11 clusters attaining 100% purity. This indicates that the contrastive pre-training successfully organized the embedding space such that problems from the same topic cluster are predominantly represented as nearest neighbors. The alignment loss of 0.0055 indicates strong alignment between positive pairs, while the uniformity loss of −0.8228 suggests reasonable spread of embeddings across the space. The embedding norms are tightly concentrated at 1.0 (std ≈ 3.8 × 10⁻⁸), consistent with the applied L2 normalization.</w:t>
      </w:r>
    </w:p>
    <w:p>
      <w:pPr>
        <w:pStyle w:val="Heading2"/>
        <w:spacing w:after="160" w:before="280"/>
      </w:pPr>
      <w:r>
        <w:rPr>
          <w:rFonts w:ascii="Arial" w:cs="Arial" w:eastAsia="Arial" w:hAnsi="Arial"/>
          <w:b/>
          <w:bCs/>
          <w:color w:val="2E75B6"/>
          <w:sz w:val="26"/>
          <w:szCs w:val="26"/>
        </w:rPr>
        <w:t xml:space="preserve">6.2 Training Dynamics and Overfitting</w:t>
      </w:r>
    </w:p>
    <w:p>
      <w:pPr>
        <w:spacing w:after="100" w:before="80"/>
        <w:jc w:val="both"/>
      </w:pPr>
      <w:r>
        <w:rPr>
          <w:rFonts w:ascii="Arial" w:cs="Arial" w:eastAsia="Arial" w:hAnsi="Arial"/>
          <w:i w:val="false"/>
          <w:iCs w:val="false"/>
          <w:sz w:val="22"/>
          <w:szCs w:val="22"/>
        </w:rPr>
        <w:t xml:space="preserve">In Stage 2 (recommendation model), the best validation loss (0.76) is achieved at epoch 5, after which validation loss increases monotonically to 1.02 by epoch 30, while training loss continues to decline to 0.42. This is an observed divergence between training and validation performance consistent with overfitting. This behavior is attributable, in part, to the use of synthetic training data: 12,000 interactions from 300 synthetic users may not provide sufficient diversity for generalization to real user distributions.</w:t>
      </w:r>
    </w:p>
    <w:p>
      <w:pPr>
        <w:pStyle w:val="Heading2"/>
        <w:spacing w:after="160" w:before="280"/>
      </w:pPr>
      <w:r>
        <w:rPr>
          <w:rFonts w:ascii="Arial" w:cs="Arial" w:eastAsia="Arial" w:hAnsi="Arial"/>
          <w:b/>
          <w:bCs/>
          <w:color w:val="2E75B6"/>
          <w:sz w:val="26"/>
          <w:szCs w:val="26"/>
        </w:rPr>
        <w:t xml:space="preserve">6.3 Classification Performance Gaps</w:t>
      </w:r>
    </w:p>
    <w:p>
      <w:pPr>
        <w:spacing w:after="100" w:before="80"/>
        <w:jc w:val="both"/>
      </w:pPr>
      <w:r>
        <w:rPr>
          <w:rFonts w:ascii="Arial" w:cs="Arial" w:eastAsia="Arial" w:hAnsi="Arial"/>
          <w:i w:val="false"/>
          <w:iCs w:val="false"/>
          <w:sz w:val="22"/>
          <w:szCs w:val="22"/>
        </w:rPr>
        <w:t xml:space="preserve">Solve prediction accuracy of 61.33% and AUC of 56.73% represent moderate discriminative performance. The F1 score of 70.85% is higher, reflecting the model's greater sensitivity (recall: 72.68%) relative to precision (69.12%). Helpful prediction accuracy of 52.00% and AUC of 48.19% — the latter below the 50% random baseline — indicate that the model does not effectively rank helpfulness in the validation regime. Difficulty prediction accuracy of 36.67% substantially underperforms, with the 'just right' class showing the highest within-class accuracy (51.77%) relative to the extreme classes (too_easy: 24.36%; too_hard: 22.22%).</w:t>
      </w:r>
    </w:p>
    <w:p>
      <w:pPr>
        <w:pStyle w:val="Heading2"/>
        <w:spacing w:after="160" w:before="280"/>
      </w:pPr>
      <w:r>
        <w:rPr>
          <w:rFonts w:ascii="Arial" w:cs="Arial" w:eastAsia="Arial" w:hAnsi="Arial"/>
          <w:b/>
          <w:bCs/>
          <w:color w:val="2E75B6"/>
          <w:sz w:val="26"/>
          <w:szCs w:val="26"/>
        </w:rPr>
        <w:t xml:space="preserve">6.4 Ranking Performance</w:t>
      </w:r>
    </w:p>
    <w:p>
      <w:pPr>
        <w:spacing w:after="100" w:before="80"/>
        <w:jc w:val="both"/>
      </w:pPr>
      <w:r>
        <w:rPr>
          <w:rFonts w:ascii="Arial" w:cs="Arial" w:eastAsia="Arial" w:hAnsi="Arial"/>
          <w:i w:val="false"/>
          <w:iCs w:val="false"/>
          <w:sz w:val="22"/>
          <w:szCs w:val="22"/>
        </w:rPr>
        <w:t xml:space="preserve">Despite moderate classification accuracy, ranking performance is substantially stronger. NDCG@10 of 75.48% and MRR of 89.66% indicate that the model consistently places relevant recommendations near the top of the ranked list. The gap between classification accuracy and ranking performance is observed and may reflect the model's utility as a relative scorer rather than a calibrated probability estimator.</w:t>
      </w:r>
    </w:p>
    <w:p>
      <w:pPr>
        <w:pStyle w:val="Heading2"/>
        <w:spacing w:after="160" w:before="280"/>
      </w:pPr>
      <w:r>
        <w:rPr>
          <w:rFonts w:ascii="Arial" w:cs="Arial" w:eastAsia="Arial" w:hAnsi="Arial"/>
          <w:b/>
          <w:bCs/>
          <w:color w:val="2E75B6"/>
          <w:sz w:val="26"/>
          <w:szCs w:val="26"/>
        </w:rPr>
        <w:t xml:space="preserve">6.5 Calibration</w:t>
      </w:r>
    </w:p>
    <w:p>
      <w:pPr>
        <w:spacing w:after="100" w:before="80"/>
        <w:jc w:val="both"/>
      </w:pPr>
      <w:r>
        <w:rPr>
          <w:rFonts w:ascii="Arial" w:cs="Arial" w:eastAsia="Arial" w:hAnsi="Arial"/>
          <w:i w:val="false"/>
          <w:iCs w:val="false"/>
          <w:sz w:val="22"/>
          <w:szCs w:val="22"/>
        </w:rPr>
        <w:t xml:space="preserve">Both solve ECE (20.96%) and helpful ECE (15.80%) fall within the 'Poor' calibration band as defined by the evaluation framework (ECE ≥ 0.15). Examining the per-bin solve calibration data: the 0.9–1.0 confidence bin (n = 98 samples) shows actual accuracy of 71.43% — a gap of 24.78 percentage points. The 0.0–0.1 confidence bin (n = 18 samples) shows actual accuracy of 44.44% against confidence of 5.56% — a gap of 38.88 percentage points in the opposite direction. These patterns indicate systematic overconfidence at high predicted probabilities and systematic underconfidence at low predicted probabilities.</w:t>
      </w:r>
    </w:p>
    <w:p>
      <w:pPr>
        <w:pStyle w:val="Heading2"/>
        <w:spacing w:after="160" w:before="280"/>
      </w:pPr>
      <w:r>
        <w:rPr>
          <w:rFonts w:ascii="Arial" w:cs="Arial" w:eastAsia="Arial" w:hAnsi="Arial"/>
          <w:b/>
          <w:bCs/>
          <w:color w:val="2E75B6"/>
          <w:sz w:val="26"/>
          <w:szCs w:val="26"/>
        </w:rPr>
        <w:t xml:space="preserve">6.6 Inference Characteristics</w:t>
      </w:r>
    </w:p>
    <w:p>
      <w:pPr>
        <w:spacing w:after="100" w:before="80"/>
        <w:jc w:val="both"/>
      </w:pPr>
      <w:r>
        <w:rPr>
          <w:rFonts w:ascii="Arial" w:cs="Arial" w:eastAsia="Arial" w:hAnsi="Arial"/>
          <w:i w:val="false"/>
          <w:iCs w:val="false"/>
          <w:sz w:val="22"/>
          <w:szCs w:val="22"/>
        </w:rPr>
        <w:t xml:space="preserve">Problem encoding is the dominant latency component, scaling from 5.00 ms (batch 1) to 72.12 ms (batch 200). User encoding and recommender latencies are relatively stable across batch sizes (3.25–5.32 ms and 1.54–4.77 ms respectively), consistent with fixed-cost operations. Throughput increases substantially with batch size, from 100.5 problems/second (batch 1) to 2,454.7 problems/second (batch 200), reflecting efficient batching. The P95 latency for batch 100 is 60.79 ms.</w:t>
      </w:r>
    </w:p>
    <w:p>
      <w:r>
        <w:rPr>
          <w:sz w:val="22"/>
          <w:szCs w:val="22"/>
        </w:rPr>
        <w:t xml:space="preserve"/>
      </w:r>
    </w:p>
    <w:p>
      <w:pPr>
        <w:pStyle w:val="Heading1"/>
        <w:spacing w:after="200" w:before="360"/>
      </w:pPr>
      <w:r>
        <w:rPr>
          <w:rFonts w:ascii="Arial" w:cs="Arial" w:eastAsia="Arial" w:hAnsi="Arial"/>
          <w:b/>
          <w:bCs/>
          <w:color w:val="1F3864"/>
          <w:sz w:val="32"/>
          <w:szCs w:val="32"/>
        </w:rPr>
        <w:t xml:space="preserve">7. Real-World Implications</w:t>
      </w:r>
    </w:p>
    <w:p>
      <w:pPr>
        <w:spacing w:after="100" w:before="80"/>
        <w:jc w:val="both"/>
      </w:pPr>
      <w:r>
        <w:rPr>
          <w:rFonts w:ascii="Arial" w:cs="Arial" w:eastAsia="Arial" w:hAnsi="Arial"/>
          <w:i w:val="false"/>
          <w:iCs w:val="false"/>
          <w:sz w:val="22"/>
          <w:szCs w:val="22"/>
        </w:rPr>
        <w:t xml:space="preserve">The following implications are stated in direct correspondence with the observed empirical results and system properties documented in the provided materials.</w:t>
      </w:r>
    </w:p>
    <w:p>
      <w:pPr>
        <w:spacing w:after="120" w:before="200"/>
      </w:pPr>
      <w:r>
        <w:rPr>
          <w:rFonts w:ascii="Arial" w:cs="Arial" w:eastAsia="Arial" w:hAnsi="Arial"/>
          <w:b/>
          <w:bCs/>
          <w:color w:val="2E75B6"/>
          <w:sz w:val="22"/>
          <w:szCs w:val="22"/>
        </w:rPr>
        <w:t xml:space="preserve">Ranking Suitability</w:t>
      </w:r>
    </w:p>
    <w:p>
      <w:pPr>
        <w:spacing w:after="100" w:before="80"/>
        <w:jc w:val="both"/>
      </w:pPr>
      <w:r>
        <w:rPr>
          <w:rFonts w:ascii="Arial" w:cs="Arial" w:eastAsia="Arial" w:hAnsi="Arial"/>
          <w:i w:val="false"/>
          <w:iCs w:val="false"/>
          <w:sz w:val="22"/>
          <w:szCs w:val="22"/>
        </w:rPr>
        <w:t xml:space="preserve">The model's ranking metrics (NDCG@10: 75.48%, MRR: 89.66%) indicate that, when used as a ranking function over a pool of candidate problems, the system consistently surfaces relevant problems in high positions. This supports deployment as a ranking layer in a recommendation pipeline.</w:t>
      </w:r>
    </w:p>
    <w:p>
      <w:pPr>
        <w:spacing w:after="120" w:before="200"/>
      </w:pPr>
      <w:r>
        <w:rPr>
          <w:rFonts w:ascii="Arial" w:cs="Arial" w:eastAsia="Arial" w:hAnsi="Arial"/>
          <w:b/>
          <w:bCs/>
          <w:color w:val="2E75B6"/>
          <w:sz w:val="22"/>
          <w:szCs w:val="22"/>
        </w:rPr>
        <w:t xml:space="preserve">Calibration Limitations</w:t>
      </w:r>
    </w:p>
    <w:p>
      <w:pPr>
        <w:spacing w:after="100" w:before="80"/>
        <w:jc w:val="both"/>
      </w:pPr>
      <w:r>
        <w:rPr>
          <w:rFonts w:ascii="Arial" w:cs="Arial" w:eastAsia="Arial" w:hAnsi="Arial"/>
          <w:i w:val="false"/>
          <w:iCs w:val="false"/>
          <w:sz w:val="22"/>
          <w:szCs w:val="22"/>
        </w:rPr>
        <w:t xml:space="preserve">The observed ECE values (solve: 20.96%, helpful: 15.80%) indicate that predicted probabilities should not be directly presented to users as reliable confidence estimates without additional calibration (e.g., temperature scaling). Raw probability values from the model are systematically miscalibrated.</w:t>
      </w:r>
    </w:p>
    <w:p>
      <w:pPr>
        <w:spacing w:after="120" w:before="200"/>
      </w:pPr>
      <w:r>
        <w:rPr>
          <w:rFonts w:ascii="Arial" w:cs="Arial" w:eastAsia="Arial" w:hAnsi="Arial"/>
          <w:b/>
          <w:bCs/>
          <w:color w:val="2E75B6"/>
          <w:sz w:val="22"/>
          <w:szCs w:val="22"/>
        </w:rPr>
        <w:t xml:space="preserve">Resource Suitability</w:t>
      </w:r>
    </w:p>
    <w:p>
      <w:pPr>
        <w:spacing w:after="100" w:before="80"/>
        <w:jc w:val="both"/>
      </w:pPr>
      <w:r>
        <w:rPr>
          <w:rFonts w:ascii="Arial" w:cs="Arial" w:eastAsia="Arial" w:hAnsi="Arial"/>
          <w:i w:val="false"/>
          <w:iCs w:val="false"/>
          <w:sz w:val="22"/>
          <w:szCs w:val="22"/>
        </w:rPr>
        <w:t xml:space="preserve">At 6.10 MB (FP32) and 1.6M parameters, the model is compact relative to large-scale language models. Measured batch-100 latency of 46.39 ms (CPU) indicates suitability for real-time recommendation within the documented FastAPI integration framework.</w:t>
      </w:r>
    </w:p>
    <w:p>
      <w:pPr>
        <w:spacing w:after="120" w:before="200"/>
      </w:pPr>
      <w:r>
        <w:rPr>
          <w:rFonts w:ascii="Arial" w:cs="Arial" w:eastAsia="Arial" w:hAnsi="Arial"/>
          <w:b/>
          <w:bCs/>
          <w:color w:val="2E75B6"/>
          <w:sz w:val="22"/>
          <w:szCs w:val="22"/>
        </w:rPr>
        <w:t xml:space="preserve">Synthetic Data Dependency</w:t>
      </w:r>
    </w:p>
    <w:p>
      <w:pPr>
        <w:spacing w:after="100" w:before="80"/>
        <w:jc w:val="both"/>
      </w:pPr>
      <w:r>
        <w:rPr>
          <w:rFonts w:ascii="Arial" w:cs="Arial" w:eastAsia="Arial" w:hAnsi="Arial"/>
          <w:i w:val="false"/>
          <w:iCs w:val="false"/>
          <w:sz w:val="22"/>
          <w:szCs w:val="22"/>
        </w:rPr>
        <w:t xml:space="preserve">All recommendation model training was conducted on synthetic interaction data. The production applicability of classification performance metrics is contingent on the degree to which the synthetic distribution matches real user behavior, which is not quantified in the available data.</w:t>
      </w:r>
    </w:p>
    <w:p>
      <w:r>
        <w:rPr>
          <w:sz w:val="22"/>
          <w:szCs w:val="22"/>
        </w:rPr>
        <w:t xml:space="preserve"/>
      </w:r>
    </w:p>
    <w:p>
      <w:pPr>
        <w:pStyle w:val="Heading1"/>
        <w:spacing w:after="200" w:before="360"/>
      </w:pPr>
      <w:r>
        <w:rPr>
          <w:rFonts w:ascii="Arial" w:cs="Arial" w:eastAsia="Arial" w:hAnsi="Arial"/>
          <w:b/>
          <w:bCs/>
          <w:color w:val="1F3864"/>
          <w:sz w:val="32"/>
          <w:szCs w:val="32"/>
        </w:rPr>
        <w:t xml:space="preserve">8. Limitations</w:t>
      </w:r>
    </w:p>
    <w:p>
      <w:pPr>
        <w:spacing w:after="100" w:before="80"/>
        <w:jc w:val="both"/>
      </w:pPr>
      <w:r>
        <w:rPr>
          <w:rFonts w:ascii="Arial" w:cs="Arial" w:eastAsia="Arial" w:hAnsi="Arial"/>
          <w:i w:val="false"/>
          <w:iCs w:val="false"/>
          <w:sz w:val="22"/>
          <w:szCs w:val="22"/>
        </w:rPr>
        <w:t xml:space="preserve">The following limitations are directly supported by the documented experimental setup and observed results.</w:t>
      </w:r>
    </w:p>
    <w:p>
      <w:pPr>
        <w:pStyle w:val="ListParagraph"/>
        <w:numPr>
          <w:ilvl w:val="0"/>
          <w:numId w:val="2"/>
        </w:numPr>
        <w:spacing w:after="60" w:before="60"/>
      </w:pPr>
      <w:r>
        <w:rPr>
          <w:rFonts w:ascii="Arial" w:cs="Arial" w:eastAsia="Arial" w:hAnsi="Arial"/>
          <w:sz w:val="22"/>
          <w:szCs w:val="22"/>
        </w:rPr>
        <w:t xml:space="preserve">Synthetic Training Data: The recommendation model is trained on 12,000 interactions from 300 synthetic users. No real user interaction data is used. Performance on real user populations is not empirically characterized in the available documentation.</w:t>
      </w:r>
    </w:p>
    <w:p>
      <w:pPr>
        <w:pStyle w:val="ListParagraph"/>
        <w:numPr>
          <w:ilvl w:val="0"/>
          <w:numId w:val="2"/>
        </w:numPr>
        <w:spacing w:after="60" w:before="60"/>
      </w:pPr>
      <w:r>
        <w:rPr>
          <w:rFonts w:ascii="Arial" w:cs="Arial" w:eastAsia="Arial" w:hAnsi="Arial"/>
          <w:sz w:val="22"/>
          <w:szCs w:val="22"/>
        </w:rPr>
        <w:t xml:space="preserve">Overfitting: Validation loss begins increasing after epoch 5, reaching 1.02 at epoch 30 against a training loss of 0.42. The selected checkpoint at epoch 5 mitigates but does not eliminate this concern.</w:t>
      </w:r>
    </w:p>
    <w:p>
      <w:pPr>
        <w:pStyle w:val="ListParagraph"/>
        <w:numPr>
          <w:ilvl w:val="0"/>
          <w:numId w:val="2"/>
        </w:numPr>
        <w:spacing w:after="60" w:before="60"/>
      </w:pPr>
      <w:r>
        <w:rPr>
          <w:rFonts w:ascii="Arial" w:cs="Arial" w:eastAsia="Arial" w:hAnsi="Arial"/>
          <w:sz w:val="22"/>
          <w:szCs w:val="22"/>
        </w:rPr>
        <w:t xml:space="preserve">Helpful Prediction: The helpful AUC of 48.19% is below the 50% random baseline, indicating the model provides no measured predictive value for helpfulness in the current evaluation regime.</w:t>
      </w:r>
    </w:p>
    <w:p>
      <w:pPr>
        <w:pStyle w:val="ListParagraph"/>
        <w:numPr>
          <w:ilvl w:val="0"/>
          <w:numId w:val="2"/>
        </w:numPr>
        <w:spacing w:after="60" w:before="60"/>
      </w:pPr>
      <w:r>
        <w:rPr>
          <w:rFonts w:ascii="Arial" w:cs="Arial" w:eastAsia="Arial" w:hAnsi="Arial"/>
          <w:sz w:val="22"/>
          <w:szCs w:val="22"/>
        </w:rPr>
        <w:t xml:space="preserve">Difficulty Matching: Overall difficulty accuracy of 36.67% is low. Extreme classes (too_easy: 24.36%, too_hard: 22.22%) are substantially underperforming relative to the 'just right' class (51.77%).</w:t>
      </w:r>
    </w:p>
    <w:p>
      <w:pPr>
        <w:pStyle w:val="ListParagraph"/>
        <w:numPr>
          <w:ilvl w:val="0"/>
          <w:numId w:val="2"/>
        </w:numPr>
        <w:spacing w:after="60" w:before="60"/>
      </w:pPr>
      <w:r>
        <w:rPr>
          <w:rFonts w:ascii="Arial" w:cs="Arial" w:eastAsia="Arial" w:hAnsi="Arial"/>
          <w:sz w:val="22"/>
          <w:szCs w:val="22"/>
        </w:rPr>
        <w:t xml:space="preserve">Calibration: Both ECE values are rated 'Poor'. Probability outputs are not suitable as direct confidence estimates without recalibration.</w:t>
      </w:r>
    </w:p>
    <w:p>
      <w:pPr>
        <w:pStyle w:val="ListParagraph"/>
        <w:numPr>
          <w:ilvl w:val="0"/>
          <w:numId w:val="2"/>
        </w:numPr>
        <w:spacing w:after="60" w:before="60"/>
      </w:pPr>
      <w:r>
        <w:rPr>
          <w:rFonts w:ascii="Arial" w:cs="Arial" w:eastAsia="Arial" w:hAnsi="Arial"/>
          <w:sz w:val="22"/>
          <w:szCs w:val="22"/>
        </w:rPr>
        <w:t xml:space="preserve">Cluster Coverage: Per-cluster purity data for cluster 9 is absent from the evaluation report. The evaluation covers 10 of 11 clusters.</w:t>
      </w:r>
    </w:p>
    <w:p>
      <w:pPr>
        <w:pStyle w:val="ListParagraph"/>
        <w:numPr>
          <w:ilvl w:val="0"/>
          <w:numId w:val="2"/>
        </w:numPr>
        <w:spacing w:after="60" w:before="60"/>
      </w:pPr>
      <w:r>
        <w:rPr>
          <w:rFonts w:ascii="Arial" w:cs="Arial" w:eastAsia="Arial" w:hAnsi="Arial"/>
          <w:sz w:val="22"/>
          <w:szCs w:val="22"/>
        </w:rPr>
        <w:t xml:space="preserve">CPU-Only Benchmarking: All latency benchmarks are conducted on CPU. GPU performance figures are not provided in the available data.</w:t>
      </w:r>
    </w:p>
    <w:p>
      <w:pPr>
        <w:pStyle w:val="ListParagraph"/>
        <w:numPr>
          <w:ilvl w:val="0"/>
          <w:numId w:val="2"/>
        </w:numPr>
        <w:spacing w:after="60" w:before="60"/>
      </w:pPr>
      <w:r>
        <w:rPr>
          <w:rFonts w:ascii="Arial" w:cs="Arial" w:eastAsia="Arial" w:hAnsi="Arial"/>
          <w:sz w:val="22"/>
          <w:szCs w:val="22"/>
        </w:rPr>
        <w:t xml:space="preserve">Evaluation Session Count: Ranking metrics are computed over only 29 evaluation sessions, which limits statistical robustness of those estimates.</w:t>
      </w:r>
    </w:p>
    <w:p>
      <w:r>
        <w:rPr>
          <w:sz w:val="22"/>
          <w:szCs w:val="22"/>
        </w:rPr>
        <w:t xml:space="preserve"/>
      </w:r>
    </w:p>
    <w:p>
      <w:pPr>
        <w:pStyle w:val="Heading1"/>
        <w:spacing w:after="200" w:before="360"/>
      </w:pPr>
      <w:r>
        <w:rPr>
          <w:rFonts w:ascii="Arial" w:cs="Arial" w:eastAsia="Arial" w:hAnsi="Arial"/>
          <w:b/>
          <w:bCs/>
          <w:color w:val="1F3864"/>
          <w:sz w:val="32"/>
          <w:szCs w:val="32"/>
        </w:rPr>
        <w:t xml:space="preserve">9. Conclusion</w:t>
      </w:r>
    </w:p>
    <w:p>
      <w:pPr>
        <w:spacing w:after="100" w:before="80"/>
        <w:jc w:val="both"/>
      </w:pPr>
      <w:r>
        <w:rPr>
          <w:rFonts w:ascii="Arial" w:cs="Arial" w:eastAsia="Arial" w:hAnsi="Arial"/>
          <w:i w:val="false"/>
          <w:iCs w:val="false"/>
          <w:sz w:val="22"/>
          <w:szCs w:val="22"/>
        </w:rPr>
        <w:t xml:space="preserve">We have presented a complete empirical account of a self-implemented Transformer-based deep learning recommendation system for competitive programming problem selection. The system's three principal components — Problem Encoder, User Encoder, and Multi-Task Recommender — are documented with full architectural detail and trained on 3,433 LeetCode problems (contrastive pre-training) and 12,000 synthetic user-problem interactions (multi-task supervised training).</w:t>
      </w:r>
    </w:p>
    <w:p>
      <w:pPr>
        <w:spacing w:after="100" w:before="80"/>
        <w:jc w:val="both"/>
      </w:pPr>
      <w:r>
        <w:rPr>
          <w:rFonts w:ascii="Arial" w:cs="Arial" w:eastAsia="Arial" w:hAnsi="Arial"/>
          <w:i w:val="false"/>
          <w:iCs w:val="false"/>
          <w:sz w:val="22"/>
          <w:szCs w:val="22"/>
        </w:rPr>
        <w:t xml:space="preserve">Evaluation results demonstrate that the problem encoder produces highly coherent semantic representations, with 99.22% cluster purity. Ranking performance is strong, with NDCG@10 of 75.48% and MRR of 89.66% across 29 evaluation sessions. Individual classification performance is moderate for solve prediction (accuracy: 61.33%, AUC: 56.73%) and below the random baseline for helpful prediction (AUC: 48.19%). Difficulty match classification accuracy is 36.67%. Calibration is rated poor on both tasks (solve ECE: 20.96%; helpful ECE: 15.80%). The model occupies 6.10 MB in FP32, comprises 1.6 million parameters, and achieves a batch-100 inference latency of 46.39 ms on CPU.</w:t>
      </w:r>
    </w:p>
    <w:p>
      <w:pPr>
        <w:spacing w:after="100" w:before="80"/>
        <w:jc w:val="both"/>
      </w:pPr>
      <w:r>
        <w:rPr>
          <w:rFonts w:ascii="Arial" w:cs="Arial" w:eastAsia="Arial" w:hAnsi="Arial"/>
          <w:i w:val="false"/>
          <w:iCs w:val="false"/>
          <w:sz w:val="22"/>
          <w:szCs w:val="22"/>
        </w:rPr>
        <w:t xml:space="preserve">These results collectively indicate that the system is suited for deployment as a ranking function with real-time inference capability, but requires calibration correction before probability outputs can be used as user-facing confidence indicators. Replacement of synthetic training data with real user interaction data is identified as the primary avenue for improving classification and helpfulness prediction performance.</w:t>
      </w:r>
    </w:p>
    <w:p>
      <w:r>
        <w:rPr>
          <w:sz w:val="22"/>
          <w:szCs w:val="22"/>
        </w:rPr>
        <w:t xml:space="preserve"/>
      </w:r>
    </w:p>
    <w:p>
      <w:r>
        <w:rPr>
          <w:sz w:val="22"/>
          <w:szCs w:val="22"/>
        </w:rPr>
        <w:t xml:space="preserve"/>
      </w:r>
    </w:p>
    <w:p>
      <w:pPr>
        <w:pBdr>
          <w:bottom w:val="single" w:color="2E75B6" w:sz="6" w:space="1"/>
        </w:pBdr>
        <w:spacing w:after="240" w:before="240"/>
      </w:pPr>
      <w:r>
        <w:rPr>
          <w:sz w:val="4"/>
          <w:szCs w:val="4"/>
        </w:rPr>
        <w:t xml:space="preserve"/>
      </w:r>
    </w:p>
    <w:p>
      <w:pPr>
        <w:spacing w:after="0" w:before="240"/>
        <w:jc w:val="both"/>
      </w:pPr>
      <w:r>
        <w:rPr>
          <w:rFonts w:ascii="Arial" w:cs="Arial" w:eastAsia="Arial" w:hAnsi="Arial"/>
          <w:i/>
          <w:iCs/>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2026-04-27T15:24:09.607Z</dcterms:created>
  <dcterms:modified xsi:type="dcterms:W3CDTF">2026-04-27T15:24:09.609Z</dcterms:modified>
</cp:coreProperties>
</file>

<file path=docProps/custom.xml><?xml version="1.0" encoding="utf-8"?>
<Properties xmlns="http://schemas.openxmlformats.org/officeDocument/2006/custom-properties" xmlns:vt="http://schemas.openxmlformats.org/officeDocument/2006/docPropsVTypes"/>
</file>