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0F1F1"/>
  <w:body>
    <w:p>
      <w:pPr>
        <w:widowControl/>
        <w:spacing w:before="320" w:after="120"/>
      </w:pPr>
      <w:r>
        <w:rPr>
          <w:rFonts w:ascii="Arial" w:hAnsi="Arial"/>
          <w:b/>
          <w:color w:val="2A8584"/>
          <w:sz w:val="26"/>
        </w:rPr>
        <w:t>WE AWARE</w:t>
      </w:r>
    </w:p>
    <w:p>
      <w:pPr>
        <w:pStyle w:val="Title"/>
        <w:widowControl/>
        <w:spacing w:after="200"/>
      </w:pPr>
      <w:r>
        <w:t>Project Design and</w:t>
        <w:br/>
        <w:t>Service Plan</w:t>
      </w:r>
    </w:p>
    <w:p>
      <w:pPr>
        <w:widowControl/>
      </w:pPr>
      <w:r>
        <w:rPr>
          <w:i w:val="0"/>
        </w:rPr>
        <w:t>A design-thinking and service-scope document for a multi-source news platform that helps readers compare coverage, inspect evidence, and decide for themselves.</w:t>
      </w:r>
    </w:p>
    <w:p>
      <w:pPr>
        <w:widowControl/>
        <w:spacing w:before="100" w:after="180"/>
      </w:pPr>
      <w:r>
        <w:rPr>
          <w:color w:val="565B60"/>
          <w:sz w:val="18"/>
        </w:rPr>
        <w:t>SDM SLA reference format  •  Portrait edition  •  16 October 2026</w:t>
      </w:r>
    </w:p>
    <w:tbl>
      <w:tblPr>
        <w:tblW w:type="auto" w:w="0"/>
        <w:jc w:val="center"/>
        <w:tblLayout w:type="fixed"/>
        <w:tblLook w:firstColumn="1" w:firstRow="1" w:lastColumn="0" w:lastRow="0" w:noHBand="0" w:noVBand="1" w:val="04A0"/>
        <w:tblBorders>
          <w:top w:val="single" w:sz="5" w:color="CDD3D3"/>
          <w:left w:val="single" w:sz="5" w:color="CDD3D3"/>
          <w:bottom w:val="single" w:sz="5" w:color="CDD3D3"/>
          <w:right w:val="single" w:sz="5" w:color="CDD3D3"/>
          <w:insideH w:val="single" w:sz="5" w:color="CDD3D3"/>
          <w:insideV w:val="single" w:sz="5" w:color="CDD3D3"/>
        </w:tblBorders>
      </w:tblPr>
      <w:tblGrid>
        <w:gridCol w:w="1872"/>
        <w:gridCol w:w="3672"/>
        <w:gridCol w:w="3960"/>
      </w:tblGrid>
      <w:tr>
        <w:trPr>
          <w:cantSplit/>
          <w:tblHeader w:val="true"/>
        </w:trPr>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8"/>
              </w:rPr>
              <w:t>Project</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8"/>
              </w:rPr>
              <w:t>Purpose</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8"/>
              </w:rPr>
              <w:t>Evidence base</w:t>
            </w:r>
          </w:p>
        </w:tc>
      </w:tr>
      <w:tr>
        <w:trPr>
          <w:cantSplit/>
        </w:trPr>
        <w:tc>
          <w:tcPr>
            <w:tcW w:type="dxa" w:w="1872"/>
            <w:vAlign w:val="center"/>
            <w:tcMar>
              <w:top w:w="95" w:type="dxa"/>
              <w:start w:w="115" w:type="dxa"/>
              <w:bottom w:w="95" w:type="dxa"/>
              <w:end w:w="115" w:type="dxa"/>
            </w:tcMar>
          </w:tcPr>
          <w:p>
            <w:pPr>
              <w:spacing w:after="0" w:line="250" w:lineRule="auto"/>
            </w:pPr>
            <w:r/>
            <w:r>
              <w:rPr>
                <w:rFonts w:ascii="Arial" w:hAnsi="Arial"/>
                <w:b w:val="0"/>
                <w:color w:val="202124"/>
                <w:sz w:val="18"/>
              </w:rPr>
              <w:t>WeAware News</w:t>
            </w:r>
          </w:p>
        </w:tc>
        <w:tc>
          <w:tcPr>
            <w:tcW w:type="dxa" w:w="3672"/>
            <w:vAlign w:val="center"/>
            <w:tcMar>
              <w:top w:w="95" w:type="dxa"/>
              <w:start w:w="115" w:type="dxa"/>
              <w:bottom w:w="95" w:type="dxa"/>
              <w:end w:w="115" w:type="dxa"/>
            </w:tcMar>
          </w:tcPr>
          <w:p>
            <w:pPr>
              <w:spacing w:after="0" w:line="250" w:lineRule="auto"/>
            </w:pPr>
            <w:r/>
            <w:r>
              <w:rPr>
                <w:rFonts w:ascii="Arial" w:hAnsi="Arial"/>
                <w:b w:val="0"/>
                <w:color w:val="202124"/>
                <w:sz w:val="18"/>
              </w:rPr>
              <w:t>Define the user problem, product approach, current implementation, and service expectations.</w:t>
            </w:r>
          </w:p>
        </w:tc>
        <w:tc>
          <w:tcPr>
            <w:tcW w:type="dxa" w:w="3960"/>
            <w:vAlign w:val="center"/>
            <w:tcMar>
              <w:top w:w="95" w:type="dxa"/>
              <w:start w:w="115" w:type="dxa"/>
              <w:bottom w:w="95" w:type="dxa"/>
              <w:end w:w="115" w:type="dxa"/>
            </w:tcMar>
          </w:tcPr>
          <w:p>
            <w:pPr>
              <w:spacing w:after="0" w:line="250" w:lineRule="auto"/>
            </w:pPr>
            <w:r/>
            <w:r>
              <w:rPr>
                <w:rFonts w:ascii="Arial" w:hAnsi="Arial"/>
                <w:b w:val="0"/>
                <w:color w:val="202124"/>
                <w:sz w:val="18"/>
              </w:rPr>
              <w:t>Supplied project presentation and repository code reviewed for this document.</w:t>
            </w:r>
          </w:p>
        </w:tc>
      </w:tr>
    </w:tbl>
    <w:p>
      <w:pPr>
        <w:widowControl/>
        <w:spacing w:after="40" w:before="0" w:line="40" w:lineRule="exact"/>
      </w:pPr>
    </w:p>
    <w:p>
      <w:pPr>
        <w:widowControl/>
        <w:spacing w:before="160"/>
      </w:pPr>
      <w:r>
        <w:rPr>
          <w:b/>
          <w:color w:val="2A8584"/>
        </w:rPr>
        <w:t>Guiding idea</w:t>
      </w:r>
    </w:p>
    <w:p>
      <w:pPr>
        <w:widowControl/>
      </w:pPr>
      <w:r>
        <w:rPr>
          <w:i w:val="0"/>
        </w:rPr>
        <w:t>Bring related reporting into one place, keep source links visible, and make agreement and disagreement easier to see.</w:t>
      </w:r>
    </w:p>
    <w:p>
      <w:pPr>
        <w:widowControl/>
        <w:spacing w:before="0" w:after="0"/>
      </w:pPr>
    </w:p>
    <w:p>
      <w:pPr>
        <w:keepNext/>
        <w:widowControl/>
        <w:spacing w:before="260" w:after="80"/>
      </w:pPr>
      <w:r>
        <w:rPr>
          <w:rFonts w:ascii="Arial" w:hAnsi="Arial"/>
          <w:b/>
          <w:color w:val="2A8584"/>
          <w:sz w:val="16"/>
        </w:rPr>
        <w:t>01  /  CREATIVE THINKING</w:t>
      </w:r>
    </w:p>
    <w:p>
      <w:pPr>
        <w:pStyle w:val="Heading1"/>
        <w:widowControl/>
      </w:pPr>
      <w:r>
        <w:t>Six Thinking Hats for WeAware</w:t>
      </w:r>
    </w:p>
    <w:p>
      <w:pPr>
        <w:keepNext/>
        <w:widowControl/>
        <w:spacing w:after="160"/>
      </w:pPr>
      <w:r>
        <w:rPr>
          <w:color w:val="565B60"/>
          <w:sz w:val="21"/>
        </w:rPr>
        <w:t>A structured way to examine the product idea from evidence, user value, risks, and next steps.</w:t>
      </w:r>
    </w:p>
    <w:tbl>
      <w:tblPr>
        <w:tblW w:type="auto" w:w="0"/>
        <w:jc w:val="center"/>
        <w:tblLayout w:type="fixed"/>
        <w:tblLook w:firstColumn="1" w:firstRow="1" w:lastColumn="0" w:lastRow="0" w:noHBand="0" w:noVBand="1" w:val="04A0"/>
        <w:tblBorders>
          <w:top w:val="single" w:sz="5" w:color="CDD3D3"/>
          <w:left w:val="single" w:sz="5" w:color="CDD3D3"/>
          <w:bottom w:val="single" w:sz="5" w:color="CDD3D3"/>
          <w:right w:val="single" w:sz="5" w:color="CDD3D3"/>
          <w:insideH w:val="single" w:sz="5" w:color="CDD3D3"/>
          <w:insideV w:val="single" w:sz="5" w:color="CDD3D3"/>
        </w:tblBorders>
      </w:tblPr>
      <w:tblGrid>
        <w:gridCol w:w="1080"/>
        <w:gridCol w:w="1800"/>
        <w:gridCol w:w="6624"/>
      </w:tblGrid>
      <w:tr>
        <w:trPr>
          <w:cantSplit/>
          <w:tblHeader w:val="true"/>
        </w:trPr>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7"/>
              </w:rPr>
              <w:t>Hat</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7"/>
              </w:rPr>
              <w:t>Lens</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7"/>
              </w:rPr>
              <w:t>Application to WeAware</w:t>
            </w:r>
          </w:p>
        </w:tc>
      </w:tr>
      <w:tr>
        <w:trPr>
          <w:cantSplit/>
        </w:trPr>
        <w:tc>
          <w:tcPr>
            <w:tcW w:type="dxa" w:w="1080"/>
            <w:vAlign w:val="center"/>
            <w:tcMar>
              <w:top w:w="95" w:type="dxa"/>
              <w:start w:w="115" w:type="dxa"/>
              <w:bottom w:w="95" w:type="dxa"/>
              <w:end w:w="115" w:type="dxa"/>
            </w:tcMar>
          </w:tcPr>
          <w:p>
            <w:pPr>
              <w:spacing w:after="0" w:line="250" w:lineRule="auto"/>
            </w:pPr>
            <w:r/>
            <w:r>
              <w:rPr>
                <w:rFonts w:ascii="Arial" w:hAnsi="Arial"/>
                <w:b w:val="0"/>
                <w:color w:val="202124"/>
                <w:sz w:val="17"/>
              </w:rPr>
              <w:t>White</w:t>
            </w:r>
          </w:p>
        </w:tc>
        <w:tc>
          <w:tcPr>
            <w:tcW w:type="dxa" w:w="1800"/>
            <w:vAlign w:val="center"/>
            <w:tcMar>
              <w:top w:w="95" w:type="dxa"/>
              <w:start w:w="115" w:type="dxa"/>
              <w:bottom w:w="95" w:type="dxa"/>
              <w:end w:w="115" w:type="dxa"/>
            </w:tcMar>
          </w:tcPr>
          <w:p>
            <w:pPr>
              <w:spacing w:after="0" w:line="250" w:lineRule="auto"/>
            </w:pPr>
            <w:r/>
            <w:r>
              <w:rPr>
                <w:rFonts w:ascii="Arial" w:hAnsi="Arial"/>
                <w:b w:val="0"/>
                <w:color w:val="202124"/>
                <w:sz w:val="17"/>
              </w:rPr>
              <w:t>Facts and evidence</w:t>
            </w:r>
          </w:p>
        </w:tc>
        <w:tc>
          <w:tcPr>
            <w:tcW w:type="dxa" w:w="6624"/>
            <w:vAlign w:val="center"/>
            <w:tcMar>
              <w:top w:w="95" w:type="dxa"/>
              <w:start w:w="115" w:type="dxa"/>
              <w:bottom w:w="95" w:type="dxa"/>
              <w:end w:w="115" w:type="dxa"/>
            </w:tcMar>
          </w:tcPr>
          <w:p>
            <w:pPr>
              <w:spacing w:after="0" w:line="250" w:lineRule="auto"/>
            </w:pPr>
            <w:r/>
            <w:r>
              <w:rPr>
                <w:rFonts w:ascii="Arial" w:hAnsi="Arial"/>
                <w:b w:val="0"/>
                <w:color w:val="202124"/>
                <w:sz w:val="17"/>
              </w:rPr>
              <w:t>The repository contains RSS, news API, and Bluesky ingestion adapters; normalization, duplicate removal, story clustering, persistence, and article-text extraction are implemented.</w:t>
            </w:r>
          </w:p>
        </w:tc>
      </w:tr>
      <w:tr>
        <w:trPr>
          <w:cantSplit/>
        </w:trPr>
        <w:tc>
          <w:tcPr>
            <w:tcW w:type="dxa" w:w="1080"/>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Red</w:t>
            </w:r>
          </w:p>
        </w:tc>
        <w:tc>
          <w:tcPr>
            <w:tcW w:type="dxa" w:w="1800"/>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Reader response</w:t>
            </w:r>
          </w:p>
        </w:tc>
        <w:tc>
          <w:tcPr>
            <w:tcW w:type="dxa" w:w="6624"/>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Readers may feel overwhelmed by repetitive headlines, uncertain about source credibility, or wary of a single outlet’s framing. These are user needs to validate.</w:t>
            </w:r>
          </w:p>
        </w:tc>
      </w:tr>
      <w:tr>
        <w:trPr>
          <w:cantSplit/>
        </w:trPr>
        <w:tc>
          <w:tcPr>
            <w:tcW w:type="dxa" w:w="1080"/>
            <w:vAlign w:val="center"/>
            <w:tcMar>
              <w:top w:w="95" w:type="dxa"/>
              <w:start w:w="115" w:type="dxa"/>
              <w:bottom w:w="95" w:type="dxa"/>
              <w:end w:w="115" w:type="dxa"/>
            </w:tcMar>
          </w:tcPr>
          <w:p>
            <w:pPr>
              <w:spacing w:after="0" w:line="250" w:lineRule="auto"/>
            </w:pPr>
            <w:r/>
            <w:r>
              <w:rPr>
                <w:rFonts w:ascii="Arial" w:hAnsi="Arial"/>
                <w:b w:val="0"/>
                <w:color w:val="202124"/>
                <w:sz w:val="17"/>
              </w:rPr>
              <w:t>Black</w:t>
            </w:r>
          </w:p>
        </w:tc>
        <w:tc>
          <w:tcPr>
            <w:tcW w:type="dxa" w:w="1800"/>
            <w:vAlign w:val="center"/>
            <w:tcMar>
              <w:top w:w="95" w:type="dxa"/>
              <w:start w:w="115" w:type="dxa"/>
              <w:bottom w:w="95" w:type="dxa"/>
              <w:end w:w="115" w:type="dxa"/>
            </w:tcMar>
          </w:tcPr>
          <w:p>
            <w:pPr>
              <w:spacing w:after="0" w:line="250" w:lineRule="auto"/>
            </w:pPr>
            <w:r/>
            <w:r>
              <w:rPr>
                <w:rFonts w:ascii="Arial" w:hAnsi="Arial"/>
                <w:b w:val="0"/>
                <w:color w:val="202124"/>
                <w:sz w:val="17"/>
              </w:rPr>
              <w:t>Risks and limits</w:t>
            </w:r>
          </w:p>
        </w:tc>
        <w:tc>
          <w:tcPr>
            <w:tcW w:type="dxa" w:w="6624"/>
            <w:vAlign w:val="center"/>
            <w:tcMar>
              <w:top w:w="95" w:type="dxa"/>
              <w:start w:w="115" w:type="dxa"/>
              <w:bottom w:w="95" w:type="dxa"/>
              <w:end w:w="115" w:type="dxa"/>
            </w:tcMar>
          </w:tcPr>
          <w:p>
            <w:pPr>
              <w:spacing w:after="0" w:line="250" w:lineRule="auto"/>
            </w:pPr>
            <w:r/>
            <w:r>
              <w:rPr>
                <w:rFonts w:ascii="Arial" w:hAnsi="Arial"/>
                <w:b w:val="0"/>
                <w:color w:val="202124"/>
                <w:sz w:val="17"/>
              </w:rPr>
              <w:t>Clustering can join unrelated reports or split one event into multiple stories. AI summaries can omit context. A source count alone does not prove accuracy or neutrality.</w:t>
            </w:r>
          </w:p>
        </w:tc>
      </w:tr>
      <w:tr>
        <w:trPr>
          <w:cantSplit/>
        </w:trPr>
        <w:tc>
          <w:tcPr>
            <w:tcW w:type="dxa" w:w="1080"/>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Yellow</w:t>
            </w:r>
          </w:p>
        </w:tc>
        <w:tc>
          <w:tcPr>
            <w:tcW w:type="dxa" w:w="1800"/>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Benefits</w:t>
            </w:r>
          </w:p>
        </w:tc>
        <w:tc>
          <w:tcPr>
            <w:tcW w:type="dxa" w:w="6624"/>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A grouped story can expose several publisher accounts, source links, corroboration, and disputed claims in one reading flow.</w:t>
            </w:r>
          </w:p>
        </w:tc>
      </w:tr>
      <w:tr>
        <w:trPr>
          <w:cantSplit/>
        </w:trPr>
        <w:tc>
          <w:tcPr>
            <w:tcW w:type="dxa" w:w="1080"/>
            <w:vAlign w:val="center"/>
            <w:tcMar>
              <w:top w:w="95" w:type="dxa"/>
              <w:start w:w="115" w:type="dxa"/>
              <w:bottom w:w="95" w:type="dxa"/>
              <w:end w:w="115" w:type="dxa"/>
            </w:tcMar>
          </w:tcPr>
          <w:p>
            <w:pPr>
              <w:spacing w:after="0" w:line="250" w:lineRule="auto"/>
            </w:pPr>
            <w:r/>
            <w:r>
              <w:rPr>
                <w:rFonts w:ascii="Arial" w:hAnsi="Arial"/>
                <w:b w:val="0"/>
                <w:color w:val="202124"/>
                <w:sz w:val="17"/>
              </w:rPr>
              <w:t>Green</w:t>
            </w:r>
          </w:p>
        </w:tc>
        <w:tc>
          <w:tcPr>
            <w:tcW w:type="dxa" w:w="1800"/>
            <w:vAlign w:val="center"/>
            <w:tcMar>
              <w:top w:w="95" w:type="dxa"/>
              <w:start w:w="115" w:type="dxa"/>
              <w:bottom w:w="95" w:type="dxa"/>
              <w:end w:w="115" w:type="dxa"/>
            </w:tcMar>
          </w:tcPr>
          <w:p>
            <w:pPr>
              <w:spacing w:after="0" w:line="250" w:lineRule="auto"/>
            </w:pPr>
            <w:r/>
            <w:r>
              <w:rPr>
                <w:rFonts w:ascii="Arial" w:hAnsi="Arial"/>
                <w:b w:val="0"/>
                <w:color w:val="202124"/>
                <w:sz w:val="17"/>
              </w:rPr>
              <w:t>New directions</w:t>
            </w:r>
          </w:p>
        </w:tc>
        <w:tc>
          <w:tcPr>
            <w:tcW w:type="dxa" w:w="6624"/>
            <w:vAlign w:val="center"/>
            <w:tcMar>
              <w:top w:w="95" w:type="dxa"/>
              <w:start w:w="115" w:type="dxa"/>
              <w:bottom w:w="95" w:type="dxa"/>
              <w:end w:w="115" w:type="dxa"/>
            </w:tcMar>
          </w:tcPr>
          <w:p>
            <w:pPr>
              <w:spacing w:after="0" w:line="250" w:lineRule="auto"/>
            </w:pPr>
            <w:r/>
            <w:r>
              <w:rPr>
                <w:rFonts w:ascii="Arial" w:hAnsi="Arial"/>
                <w:b w:val="0"/>
                <w:color w:val="202124"/>
                <w:sz w:val="17"/>
              </w:rPr>
              <w:t>Add a claim-level comparison view, transparent correction history, and a reader-controlled research mode after the core source and evidence views are dependable.</w:t>
            </w:r>
          </w:p>
        </w:tc>
      </w:tr>
      <w:tr>
        <w:trPr>
          <w:cantSplit/>
        </w:trPr>
        <w:tc>
          <w:tcPr>
            <w:tcW w:type="dxa" w:w="1080"/>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Blue</w:t>
            </w:r>
          </w:p>
        </w:tc>
        <w:tc>
          <w:tcPr>
            <w:tcW w:type="dxa" w:w="1800"/>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Process and control</w:t>
            </w:r>
          </w:p>
        </w:tc>
        <w:tc>
          <w:tcPr>
            <w:tcW w:type="dxa" w:w="6624"/>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Separate data collection, story grouping, publication, and media generation. Keep measurable checks and a human review step where the output or risk requires it.</w:t>
            </w:r>
          </w:p>
        </w:tc>
      </w:tr>
    </w:tbl>
    <w:p>
      <w:pPr>
        <w:widowControl/>
        <w:spacing w:after="40" w:before="0" w:line="40" w:lineRule="exact"/>
      </w:pPr>
    </w:p>
    <w:p>
      <w:pPr>
        <w:widowControl/>
        <w:spacing w:before="80" w:after="100"/>
      </w:pPr>
      <w:r>
        <w:rPr>
          <w:i/>
          <w:color w:val="565B60"/>
          <w:sz w:val="17"/>
        </w:rPr>
        <w:t>The “facts” column describes code in this repository. User reactions and future directions are hypotheses or recommendations, not user-study findings.</w:t>
      </w:r>
    </w:p>
    <w:p>
      <w:pPr>
        <w:widowControl/>
        <w:spacing w:before="0" w:after="0"/>
      </w:pPr>
    </w:p>
    <w:p>
      <w:pPr>
        <w:keepNext/>
        <w:widowControl/>
        <w:spacing w:before="260" w:after="80"/>
      </w:pPr>
      <w:r>
        <w:rPr>
          <w:rFonts w:ascii="Arial" w:hAnsi="Arial"/>
          <w:b/>
          <w:color w:val="2A8584"/>
          <w:sz w:val="16"/>
        </w:rPr>
        <w:t>02  /  DESIGN THINKING</w:t>
      </w:r>
    </w:p>
    <w:p>
      <w:pPr>
        <w:pStyle w:val="Heading1"/>
        <w:widowControl/>
      </w:pPr>
      <w:r>
        <w:t>Design Thinking</w:t>
      </w:r>
    </w:p>
    <w:p>
      <w:pPr>
        <w:keepNext/>
        <w:widowControl/>
        <w:spacing w:after="160"/>
      </w:pPr>
      <w:r>
        <w:rPr>
          <w:color w:val="565B60"/>
          <w:sz w:val="21"/>
        </w:rPr>
        <w:t>Use the five-step cycle to turn the project’s neutrality goal into a testable reader experience.</w:t>
      </w:r>
    </w:p>
    <w:tbl>
      <w:tblPr>
        <w:tblW w:type="auto" w:w="0"/>
        <w:jc w:val="center"/>
        <w:tblLayout w:type="fixed"/>
        <w:tblLook w:firstColumn="1" w:firstRow="1" w:lastColumn="0" w:lastRow="0" w:noHBand="0" w:noVBand="1" w:val="04A0"/>
        <w:tblBorders>
          <w:top w:val="single" w:sz="5" w:color="CDD3D3"/>
          <w:left w:val="single" w:sz="5" w:color="CDD3D3"/>
          <w:bottom w:val="single" w:sz="5" w:color="CDD3D3"/>
          <w:right w:val="single" w:sz="5" w:color="CDD3D3"/>
          <w:insideH w:val="single" w:sz="5" w:color="CDD3D3"/>
          <w:insideV w:val="single" w:sz="5" w:color="CDD3D3"/>
        </w:tblBorders>
      </w:tblPr>
      <w:tblGrid>
        <w:gridCol w:w="1584"/>
        <w:gridCol w:w="3816"/>
        <w:gridCol w:w="4104"/>
      </w:tblGrid>
      <w:tr>
        <w:trPr>
          <w:cantSplit/>
          <w:tblHeader w:val="true"/>
        </w:trPr>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8"/>
              </w:rPr>
              <w:t>Step</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8"/>
              </w:rPr>
              <w:t>WeAware application</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8"/>
              </w:rPr>
              <w:t>Evidence or output</w:t>
            </w:r>
          </w:p>
        </w:tc>
      </w:tr>
      <w:tr>
        <w:trPr>
          <w:cantSplit/>
        </w:trPr>
        <w:tc>
          <w:tcPr>
            <w:tcW w:type="dxa" w:w="1584"/>
            <w:vAlign w:val="center"/>
            <w:tcMar>
              <w:top w:w="95" w:type="dxa"/>
              <w:start w:w="115" w:type="dxa"/>
              <w:bottom w:w="95" w:type="dxa"/>
              <w:end w:w="115" w:type="dxa"/>
            </w:tcMar>
          </w:tcPr>
          <w:p>
            <w:pPr>
              <w:spacing w:after="0" w:line="250" w:lineRule="auto"/>
            </w:pPr>
            <w:r/>
            <w:r>
              <w:rPr>
                <w:rFonts w:ascii="Arial" w:hAnsi="Arial"/>
                <w:b w:val="0"/>
                <w:color w:val="202124"/>
                <w:sz w:val="18"/>
              </w:rPr>
              <w:t>Empathize</w:t>
            </w:r>
          </w:p>
        </w:tc>
        <w:tc>
          <w:tcPr>
            <w:tcW w:type="dxa" w:w="3816"/>
            <w:vAlign w:val="center"/>
            <w:tcMar>
              <w:top w:w="95" w:type="dxa"/>
              <w:start w:w="115" w:type="dxa"/>
              <w:bottom w:w="95" w:type="dxa"/>
              <w:end w:w="115" w:type="dxa"/>
            </w:tcMar>
          </w:tcPr>
          <w:p>
            <w:pPr>
              <w:spacing w:after="0" w:line="250" w:lineRule="auto"/>
            </w:pPr>
            <w:r/>
            <w:r>
              <w:rPr>
                <w:rFonts w:ascii="Arial" w:hAnsi="Arial"/>
                <w:b w:val="0"/>
                <w:color w:val="202124"/>
                <w:sz w:val="18"/>
              </w:rPr>
              <w:t>Understand how readers compare coverage, assess source trust, and notice missing context.</w:t>
            </w:r>
          </w:p>
        </w:tc>
        <w:tc>
          <w:tcPr>
            <w:tcW w:type="dxa" w:w="4104"/>
            <w:vAlign w:val="center"/>
            <w:tcMar>
              <w:top w:w="95" w:type="dxa"/>
              <w:start w:w="115" w:type="dxa"/>
              <w:bottom w:w="95" w:type="dxa"/>
              <w:end w:w="115" w:type="dxa"/>
            </w:tcMar>
          </w:tcPr>
          <w:p>
            <w:pPr>
              <w:spacing w:after="0" w:line="250" w:lineRule="auto"/>
            </w:pPr>
            <w:r/>
            <w:r>
              <w:rPr>
                <w:rFonts w:ascii="Arial" w:hAnsi="Arial"/>
                <w:b w:val="0"/>
                <w:color w:val="202124"/>
                <w:sz w:val="18"/>
              </w:rPr>
              <w:t>Interview and usability findings; none are included in the supplied project materials.</w:t>
            </w:r>
          </w:p>
        </w:tc>
      </w:tr>
      <w:tr>
        <w:trPr>
          <w:cantSplit/>
        </w:trPr>
        <w:tc>
          <w:tcPr>
            <w:tcW w:type="dxa" w:w="1584"/>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Define</w:t>
            </w:r>
          </w:p>
        </w:tc>
        <w:tc>
          <w:tcPr>
            <w:tcW w:type="dxa" w:w="3816"/>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Frame the need as access to source-linked, multi-perspective reporting with visible uncertainty.</w:t>
            </w:r>
          </w:p>
        </w:tc>
        <w:tc>
          <w:tcPr>
            <w:tcW w:type="dxa" w:w="4104"/>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Problem statement and testable reader outcomes.</w:t>
            </w:r>
          </w:p>
        </w:tc>
      </w:tr>
      <w:tr>
        <w:trPr>
          <w:cantSplit/>
        </w:trPr>
        <w:tc>
          <w:tcPr>
            <w:tcW w:type="dxa" w:w="1584"/>
            <w:vAlign w:val="center"/>
            <w:tcMar>
              <w:top w:w="95" w:type="dxa"/>
              <w:start w:w="115" w:type="dxa"/>
              <w:bottom w:w="95" w:type="dxa"/>
              <w:end w:w="115" w:type="dxa"/>
            </w:tcMar>
          </w:tcPr>
          <w:p>
            <w:pPr>
              <w:spacing w:after="0" w:line="250" w:lineRule="auto"/>
            </w:pPr>
            <w:r/>
            <w:r>
              <w:rPr>
                <w:rFonts w:ascii="Arial" w:hAnsi="Arial"/>
                <w:b w:val="0"/>
                <w:color w:val="202124"/>
                <w:sz w:val="18"/>
              </w:rPr>
              <w:t>Ideate</w:t>
            </w:r>
          </w:p>
        </w:tc>
        <w:tc>
          <w:tcPr>
            <w:tcW w:type="dxa" w:w="3816"/>
            <w:vAlign w:val="center"/>
            <w:tcMar>
              <w:top w:w="95" w:type="dxa"/>
              <w:start w:w="115" w:type="dxa"/>
              <w:bottom w:w="95" w:type="dxa"/>
              <w:end w:w="115" w:type="dxa"/>
            </w:tcMar>
          </w:tcPr>
          <w:p>
            <w:pPr>
              <w:spacing w:after="0" w:line="250" w:lineRule="auto"/>
            </w:pPr>
            <w:r/>
            <w:r>
              <w:rPr>
                <w:rFonts w:ascii="Arial" w:hAnsi="Arial"/>
                <w:b w:val="0"/>
                <w:color w:val="202124"/>
                <w:sz w:val="18"/>
              </w:rPr>
              <w:t>Explore source comparison, claim status, topic filters, audio formats, newsletters, and research tools.</w:t>
            </w:r>
          </w:p>
        </w:tc>
        <w:tc>
          <w:tcPr>
            <w:tcW w:type="dxa" w:w="4104"/>
            <w:vAlign w:val="center"/>
            <w:tcMar>
              <w:top w:w="95" w:type="dxa"/>
              <w:start w:w="115" w:type="dxa"/>
              <w:bottom w:w="95" w:type="dxa"/>
              <w:end w:w="115" w:type="dxa"/>
            </w:tcMar>
          </w:tcPr>
          <w:p>
            <w:pPr>
              <w:spacing w:after="0" w:line="250" w:lineRule="auto"/>
            </w:pPr>
            <w:r/>
            <w:r>
              <w:rPr>
                <w:rFonts w:ascii="Arial" w:hAnsi="Arial"/>
                <w:b w:val="0"/>
                <w:color w:val="202124"/>
                <w:sz w:val="18"/>
              </w:rPr>
              <w:t>Rank concepts by reader value, trust impact, effort, and risk.</w:t>
            </w:r>
          </w:p>
        </w:tc>
      </w:tr>
      <w:tr>
        <w:trPr>
          <w:cantSplit/>
        </w:trPr>
        <w:tc>
          <w:tcPr>
            <w:tcW w:type="dxa" w:w="1584"/>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Prototype</w:t>
            </w:r>
          </w:p>
        </w:tc>
        <w:tc>
          <w:tcPr>
            <w:tcW w:type="dxa" w:w="3816"/>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Start with a feed and story reader that displays sources, summary, consensus signals, and claims.</w:t>
            </w:r>
          </w:p>
        </w:tc>
        <w:tc>
          <w:tcPr>
            <w:tcW w:type="dxa" w:w="4104"/>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The repository includes a React/Vite interface with bundled sample stories.</w:t>
            </w:r>
          </w:p>
        </w:tc>
      </w:tr>
      <w:tr>
        <w:trPr>
          <w:cantSplit/>
        </w:trPr>
        <w:tc>
          <w:tcPr>
            <w:tcW w:type="dxa" w:w="1584"/>
            <w:vAlign w:val="center"/>
            <w:tcMar>
              <w:top w:w="95" w:type="dxa"/>
              <w:start w:w="115" w:type="dxa"/>
              <w:bottom w:w="95" w:type="dxa"/>
              <w:end w:w="115" w:type="dxa"/>
            </w:tcMar>
          </w:tcPr>
          <w:p>
            <w:pPr>
              <w:spacing w:after="0" w:line="250" w:lineRule="auto"/>
            </w:pPr>
            <w:r/>
            <w:r>
              <w:rPr>
                <w:rFonts w:ascii="Arial" w:hAnsi="Arial"/>
                <w:b w:val="0"/>
                <w:color w:val="202124"/>
                <w:sz w:val="18"/>
              </w:rPr>
              <w:t>Test</w:t>
            </w:r>
          </w:p>
        </w:tc>
        <w:tc>
          <w:tcPr>
            <w:tcW w:type="dxa" w:w="3816"/>
            <w:vAlign w:val="center"/>
            <w:tcMar>
              <w:top w:w="95" w:type="dxa"/>
              <w:start w:w="115" w:type="dxa"/>
              <w:bottom w:w="95" w:type="dxa"/>
              <w:end w:w="115" w:type="dxa"/>
            </w:tcMar>
          </w:tcPr>
          <w:p>
            <w:pPr>
              <w:spacing w:after="0" w:line="250" w:lineRule="auto"/>
            </w:pPr>
            <w:r/>
            <w:r>
              <w:rPr>
                <w:rFonts w:ascii="Arial" w:hAnsi="Arial"/>
                <w:b w:val="0"/>
                <w:color w:val="202124"/>
                <w:sz w:val="18"/>
              </w:rPr>
              <w:t>Check comprehension, source traceability, and whether a reader can distinguish consensus from disagreement.</w:t>
            </w:r>
          </w:p>
        </w:tc>
        <w:tc>
          <w:tcPr>
            <w:tcW w:type="dxa" w:w="4104"/>
            <w:vAlign w:val="center"/>
            <w:tcMar>
              <w:top w:w="95" w:type="dxa"/>
              <w:start w:w="115" w:type="dxa"/>
              <w:bottom w:w="95" w:type="dxa"/>
              <w:end w:w="115" w:type="dxa"/>
            </w:tcMar>
          </w:tcPr>
          <w:p>
            <w:pPr>
              <w:spacing w:after="0" w:line="250" w:lineRule="auto"/>
            </w:pPr>
            <w:r/>
            <w:r>
              <w:rPr>
                <w:rFonts w:ascii="Arial" w:hAnsi="Arial"/>
                <w:b w:val="0"/>
                <w:color w:val="202124"/>
                <w:sz w:val="18"/>
              </w:rPr>
              <w:t>Usability sessions, factual review, and measurable acceptance checks.</w:t>
            </w:r>
          </w:p>
        </w:tc>
      </w:tr>
    </w:tbl>
    <w:p>
      <w:pPr>
        <w:widowControl/>
        <w:spacing w:after="40" w:before="0" w:line="40" w:lineRule="exact"/>
      </w:pPr>
    </w:p>
    <w:p>
      <w:pPr>
        <w:widowControl/>
      </w:pPr>
      <w:r>
        <w:rPr>
          <w:b/>
        </w:rPr>
        <w:t>Design principle</w:t>
      </w:r>
      <w:r/>
    </w:p>
    <w:p>
      <w:pPr>
        <w:widowControl/>
      </w:pPr>
      <w:r>
        <w:rPr>
          <w:i w:val="0"/>
        </w:rPr>
        <w:t>The interface should help a reader inspect how a summary was formed. It should not ask the reader to accept an “unbiased” label as proof.</w:t>
      </w:r>
    </w:p>
    <w:p>
      <w:pPr>
        <w:widowControl/>
        <w:spacing w:before="0" w:after="0"/>
      </w:pPr>
    </w:p>
    <w:p>
      <w:pPr>
        <w:keepNext/>
        <w:widowControl/>
        <w:spacing w:before="260" w:after="80"/>
      </w:pPr>
      <w:r>
        <w:rPr>
          <w:rFonts w:ascii="Arial" w:hAnsi="Arial"/>
          <w:b/>
          <w:color w:val="2A8584"/>
          <w:sz w:val="16"/>
        </w:rPr>
        <w:t>03  /  EMPATHIZE</w:t>
      </w:r>
    </w:p>
    <w:p>
      <w:pPr>
        <w:pStyle w:val="Heading1"/>
        <w:widowControl/>
      </w:pPr>
      <w:r>
        <w:t>Reader Needs and Assumptions</w:t>
      </w:r>
    </w:p>
    <w:p>
      <w:pPr>
        <w:keepNext/>
        <w:widowControl/>
        <w:spacing w:after="160"/>
      </w:pPr>
      <w:r>
        <w:rPr>
          <w:color w:val="565B60"/>
          <w:sz w:val="21"/>
        </w:rPr>
        <w:t>The supplied presentation names younger audiences and describes access, engagement, and perspective as central concerns.</w:t>
      </w:r>
    </w:p>
    <w:p>
      <w:pPr>
        <w:widowControl/>
      </w:pPr>
      <w:r>
        <w:rPr>
          <w:i w:val="0"/>
        </w:rPr>
        <w:t>What readers may need</w:t>
      </w:r>
    </w:p>
    <w:p>
      <w:pPr>
        <w:pStyle w:val="ListBullet"/>
        <w:widowControl/>
        <w:spacing w:after="60"/>
        <w:ind w:left="317" w:hanging="216"/>
      </w:pPr>
      <w:r>
        <w:t>A quick explanation of what happened, with links to the reports behind it.</w:t>
      </w:r>
    </w:p>
    <w:p>
      <w:pPr>
        <w:pStyle w:val="ListBullet"/>
        <w:widowControl/>
        <w:spacing w:after="60"/>
        <w:ind w:left="317" w:hanging="216"/>
      </w:pPr>
      <w:r>
        <w:t>A way to see which details multiple publishers support and where accounts differ.</w:t>
      </w:r>
    </w:p>
    <w:p>
      <w:pPr>
        <w:pStyle w:val="ListBullet"/>
        <w:widowControl/>
        <w:spacing w:after="60"/>
        <w:ind w:left="317" w:hanging="216"/>
      </w:pPr>
      <w:r>
        <w:t>Clear separation between confirmed information, disputed claims, and unknowns.</w:t>
      </w:r>
    </w:p>
    <w:p>
      <w:pPr>
        <w:pStyle w:val="ListBullet"/>
        <w:widowControl/>
        <w:spacing w:after="60"/>
        <w:ind w:left="317" w:hanging="216"/>
      </w:pPr>
      <w:r>
        <w:t>A free, readable experience that works for short sessions and deeper reading.</w:t>
      </w:r>
    </w:p>
    <w:p>
      <w:pPr>
        <w:pStyle w:val="ListBullet"/>
        <w:widowControl/>
        <w:spacing w:after="60"/>
        <w:ind w:left="317" w:hanging="216"/>
      </w:pPr>
      <w:r>
        <w:t>Control over topics, format, and whether to listen or share.</w:t>
      </w:r>
    </w:p>
    <w:p>
      <w:pPr>
        <w:widowControl/>
      </w:pPr>
      <w:r>
        <w:rPr>
          <w:i w:val="0"/>
        </w:rPr>
        <w:t>Risks to test with readers</w:t>
      </w:r>
    </w:p>
    <w:tbl>
      <w:tblPr>
        <w:tblW w:type="auto" w:w="0"/>
        <w:jc w:val="center"/>
        <w:tblLayout w:type="fixed"/>
        <w:tblLook w:firstColumn="1" w:firstRow="1" w:lastColumn="0" w:lastRow="0" w:noHBand="0" w:noVBand="1" w:val="04A0"/>
        <w:tblBorders>
          <w:top w:val="single" w:sz="5" w:color="CDD3D3"/>
          <w:left w:val="single" w:sz="5" w:color="CDD3D3"/>
          <w:bottom w:val="single" w:sz="5" w:color="CDD3D3"/>
          <w:right w:val="single" w:sz="5" w:color="CDD3D3"/>
          <w:insideH w:val="single" w:sz="5" w:color="CDD3D3"/>
          <w:insideV w:val="single" w:sz="5" w:color="CDD3D3"/>
        </w:tblBorders>
      </w:tblPr>
      <w:tblGrid>
        <w:gridCol w:w="3528"/>
        <w:gridCol w:w="5976"/>
      </w:tblGrid>
      <w:tr>
        <w:trPr>
          <w:cantSplit/>
          <w:tblHeader w:val="true"/>
        </w:trPr>
        <w:tc>
          <w:tcPr>
            <w:tcW w:type="dxa" w:w="4997"/>
            <w:shd w:fill="315C66"/>
            <w:vAlign w:val="center"/>
            <w:tcMar>
              <w:top w:w="95" w:type="dxa"/>
              <w:start w:w="115" w:type="dxa"/>
              <w:bottom w:w="95" w:type="dxa"/>
              <w:end w:w="115" w:type="dxa"/>
            </w:tcMar>
          </w:tcPr>
          <w:p>
            <w:pPr>
              <w:spacing w:after="0" w:line="250" w:lineRule="auto"/>
            </w:pPr>
            <w:r/>
            <w:r>
              <w:rPr>
                <w:rFonts w:ascii="Arial" w:hAnsi="Arial"/>
                <w:b/>
                <w:color w:val="FFFFFF"/>
                <w:sz w:val="18"/>
              </w:rPr>
              <w:t>Question</w:t>
            </w:r>
          </w:p>
        </w:tc>
        <w:tc>
          <w:tcPr>
            <w:tcW w:type="dxa" w:w="4997"/>
            <w:shd w:fill="315C66"/>
            <w:vAlign w:val="center"/>
            <w:tcMar>
              <w:top w:w="95" w:type="dxa"/>
              <w:start w:w="115" w:type="dxa"/>
              <w:bottom w:w="95" w:type="dxa"/>
              <w:end w:w="115" w:type="dxa"/>
            </w:tcMar>
          </w:tcPr>
          <w:p>
            <w:pPr>
              <w:spacing w:after="0" w:line="250" w:lineRule="auto"/>
            </w:pPr>
            <w:r/>
            <w:r>
              <w:rPr>
                <w:rFonts w:ascii="Arial" w:hAnsi="Arial"/>
                <w:b/>
                <w:color w:val="FFFFFF"/>
                <w:sz w:val="18"/>
              </w:rPr>
              <w:t>Why it matters</w:t>
            </w:r>
          </w:p>
        </w:tc>
      </w:tr>
      <w:tr>
        <w:trPr>
          <w:cantSplit/>
        </w:trPr>
        <w:tc>
          <w:tcPr>
            <w:tcW w:type="dxa" w:w="3528"/>
            <w:vAlign w:val="center"/>
            <w:tcMar>
              <w:top w:w="95" w:type="dxa"/>
              <w:start w:w="115" w:type="dxa"/>
              <w:bottom w:w="95" w:type="dxa"/>
              <w:end w:w="115" w:type="dxa"/>
            </w:tcMar>
          </w:tcPr>
          <w:p>
            <w:pPr>
              <w:spacing w:after="0" w:line="250" w:lineRule="auto"/>
            </w:pPr>
            <w:r/>
            <w:r>
              <w:rPr>
                <w:rFonts w:ascii="Arial" w:hAnsi="Arial"/>
                <w:b w:val="0"/>
                <w:color w:val="202124"/>
                <w:sz w:val="18"/>
              </w:rPr>
              <w:t>Does “consensus” sound like certainty?</w:t>
            </w:r>
          </w:p>
        </w:tc>
        <w:tc>
          <w:tcPr>
            <w:tcW w:type="dxa" w:w="5976"/>
            <w:vAlign w:val="center"/>
            <w:tcMar>
              <w:top w:w="95" w:type="dxa"/>
              <w:start w:w="115" w:type="dxa"/>
              <w:bottom w:w="95" w:type="dxa"/>
              <w:end w:w="115" w:type="dxa"/>
            </w:tcMar>
          </w:tcPr>
          <w:p>
            <w:pPr>
              <w:spacing w:after="0" w:line="250" w:lineRule="auto"/>
            </w:pPr>
            <w:r/>
            <w:r>
              <w:rPr>
                <w:rFonts w:ascii="Arial" w:hAnsi="Arial"/>
                <w:b w:val="0"/>
                <w:color w:val="202124"/>
                <w:sz w:val="18"/>
              </w:rPr>
              <w:t>A score can imply truth or consensus beyond the evidence.</w:t>
            </w:r>
          </w:p>
        </w:tc>
      </w:tr>
      <w:tr>
        <w:trPr>
          <w:cantSplit/>
        </w:trPr>
        <w:tc>
          <w:tcPr>
            <w:tcW w:type="dxa" w:w="3528"/>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Can a reader find and open original reporting?</w:t>
            </w:r>
          </w:p>
        </w:tc>
        <w:tc>
          <w:tcPr>
            <w:tcW w:type="dxa" w:w="5976"/>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Provenance is central to trust and independent judgment.</w:t>
            </w:r>
          </w:p>
        </w:tc>
      </w:tr>
      <w:tr>
        <w:trPr>
          <w:cantSplit/>
        </w:trPr>
        <w:tc>
          <w:tcPr>
            <w:tcW w:type="dxa" w:w="3528"/>
            <w:vAlign w:val="center"/>
            <w:tcMar>
              <w:top w:w="95" w:type="dxa"/>
              <w:start w:w="115" w:type="dxa"/>
              <w:bottom w:w="95" w:type="dxa"/>
              <w:end w:w="115" w:type="dxa"/>
            </w:tcMar>
          </w:tcPr>
          <w:p>
            <w:pPr>
              <w:spacing w:after="0" w:line="250" w:lineRule="auto"/>
            </w:pPr>
            <w:r/>
            <w:r>
              <w:rPr>
                <w:rFonts w:ascii="Arial" w:hAnsi="Arial"/>
                <w:b w:val="0"/>
                <w:color w:val="202124"/>
                <w:sz w:val="18"/>
              </w:rPr>
              <w:t>Can readers tell a demo story from live reporting?</w:t>
            </w:r>
          </w:p>
        </w:tc>
        <w:tc>
          <w:tcPr>
            <w:tcW w:type="dxa" w:w="5976"/>
            <w:vAlign w:val="center"/>
            <w:tcMar>
              <w:top w:w="95" w:type="dxa"/>
              <w:start w:w="115" w:type="dxa"/>
              <w:bottom w:w="95" w:type="dxa"/>
              <w:end w:w="115" w:type="dxa"/>
            </w:tcMar>
          </w:tcPr>
          <w:p>
            <w:pPr>
              <w:spacing w:after="0" w:line="250" w:lineRule="auto"/>
            </w:pPr>
            <w:r/>
            <w:r>
              <w:rPr>
                <w:rFonts w:ascii="Arial" w:hAnsi="Arial"/>
                <w:b w:val="0"/>
                <w:color w:val="202124"/>
                <w:sz w:val="18"/>
              </w:rPr>
              <w:t>The bundled web stories include fictional demonstration content.</w:t>
            </w:r>
          </w:p>
        </w:tc>
      </w:tr>
      <w:tr>
        <w:trPr>
          <w:cantSplit/>
        </w:trPr>
        <w:tc>
          <w:tcPr>
            <w:tcW w:type="dxa" w:w="3528"/>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Does side-by-side coverage clarify differences?</w:t>
            </w:r>
          </w:p>
        </w:tc>
        <w:tc>
          <w:tcPr>
            <w:tcW w:type="dxa" w:w="5976"/>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Different wording may reflect emphasis, not a factual contradiction.</w:t>
            </w:r>
          </w:p>
        </w:tc>
      </w:tr>
    </w:tbl>
    <w:p>
      <w:pPr>
        <w:widowControl/>
        <w:spacing w:after="40" w:before="0" w:line="40" w:lineRule="exact"/>
      </w:pPr>
    </w:p>
    <w:p>
      <w:pPr>
        <w:widowControl/>
        <w:spacing w:before="80" w:after="100"/>
      </w:pPr>
      <w:r>
        <w:rPr>
          <w:i/>
          <w:color w:val="565B60"/>
          <w:sz w:val="17"/>
        </w:rPr>
        <w:t>These are research prompts inferred from the product brief and interface. They are not findings from completed interviews.</w:t>
      </w:r>
    </w:p>
    <w:p>
      <w:pPr>
        <w:widowControl/>
        <w:spacing w:before="0" w:after="0"/>
      </w:pPr>
    </w:p>
    <w:p>
      <w:pPr>
        <w:keepNext/>
        <w:widowControl/>
        <w:spacing w:before="260" w:after="80"/>
      </w:pPr>
      <w:r>
        <w:rPr>
          <w:rFonts w:ascii="Arial" w:hAnsi="Arial"/>
          <w:b/>
          <w:color w:val="2A8584"/>
          <w:sz w:val="16"/>
        </w:rPr>
        <w:t>04  /  USER PERSONAS</w:t>
      </w:r>
    </w:p>
    <w:p>
      <w:pPr>
        <w:pStyle w:val="Heading1"/>
        <w:widowControl/>
      </w:pPr>
      <w:r>
        <w:t>Working Persona Hypotheses</w:t>
      </w:r>
    </w:p>
    <w:p>
      <w:pPr>
        <w:keepNext/>
        <w:widowControl/>
        <w:spacing w:after="160"/>
      </w:pPr>
      <w:r>
        <w:rPr>
          <w:color w:val="565B60"/>
          <w:sz w:val="21"/>
        </w:rPr>
        <w:t>Provisional personas translate the project’s stated audience into needs that can be checked through research.</w:t>
      </w:r>
    </w:p>
    <w:tbl>
      <w:tblPr>
        <w:tblW w:type="auto" w:w="0"/>
        <w:jc w:val="center"/>
        <w:tblLayout w:type="fixed"/>
        <w:tblLook w:firstColumn="1" w:firstRow="1" w:lastColumn="0" w:lastRow="0" w:noHBand="0" w:noVBand="1" w:val="04A0"/>
        <w:tblBorders>
          <w:top w:val="single" w:sz="5" w:color="CDD3D3"/>
          <w:left w:val="single" w:sz="5" w:color="CDD3D3"/>
          <w:bottom w:val="single" w:sz="5" w:color="CDD3D3"/>
          <w:right w:val="single" w:sz="5" w:color="CDD3D3"/>
          <w:insideH w:val="single" w:sz="5" w:color="CDD3D3"/>
          <w:insideV w:val="single" w:sz="5" w:color="CDD3D3"/>
        </w:tblBorders>
      </w:tblPr>
      <w:tblGrid>
        <w:gridCol w:w="2088"/>
        <w:gridCol w:w="3168"/>
        <w:gridCol w:w="4248"/>
      </w:tblGrid>
      <w:tr>
        <w:trPr>
          <w:cantSplit/>
          <w:tblHeader w:val="true"/>
        </w:trPr>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8"/>
              </w:rPr>
              <w:t>Persona</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8"/>
              </w:rPr>
              <w:t>Context</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8"/>
              </w:rPr>
              <w:t>Needs and friction</w:t>
            </w:r>
          </w:p>
        </w:tc>
      </w:tr>
      <w:tr>
        <w:trPr>
          <w:cantSplit/>
        </w:trPr>
        <w:tc>
          <w:tcPr>
            <w:tcW w:type="dxa" w:w="2088"/>
            <w:vAlign w:val="center"/>
            <w:tcMar>
              <w:top w:w="95" w:type="dxa"/>
              <w:start w:w="115" w:type="dxa"/>
              <w:bottom w:w="95" w:type="dxa"/>
              <w:end w:w="115" w:type="dxa"/>
            </w:tcMar>
          </w:tcPr>
          <w:p>
            <w:pPr>
              <w:spacing w:after="0" w:line="250" w:lineRule="auto"/>
            </w:pPr>
            <w:r/>
            <w:r>
              <w:rPr>
                <w:rFonts w:ascii="Arial" w:hAnsi="Arial"/>
                <w:b w:val="0"/>
                <w:color w:val="202124"/>
                <w:sz w:val="18"/>
              </w:rPr>
              <w:t>The time-limited reader</w:t>
            </w:r>
          </w:p>
        </w:tc>
        <w:tc>
          <w:tcPr>
            <w:tcW w:type="dxa" w:w="3168"/>
            <w:vAlign w:val="center"/>
            <w:tcMar>
              <w:top w:w="95" w:type="dxa"/>
              <w:start w:w="115" w:type="dxa"/>
              <w:bottom w:w="95" w:type="dxa"/>
              <w:end w:w="115" w:type="dxa"/>
            </w:tcMar>
          </w:tcPr>
          <w:p>
            <w:pPr>
              <w:spacing w:after="0" w:line="250" w:lineRule="auto"/>
            </w:pPr>
            <w:r/>
            <w:r>
              <w:rPr>
                <w:rFonts w:ascii="Arial" w:hAnsi="Arial"/>
                <w:b w:val="0"/>
                <w:color w:val="202124"/>
                <w:sz w:val="18"/>
              </w:rPr>
              <w:t>Checks news between classes, work, or commutes; often sees headlines first on a phone.</w:t>
            </w:r>
          </w:p>
        </w:tc>
        <w:tc>
          <w:tcPr>
            <w:tcW w:type="dxa" w:w="4248"/>
            <w:vAlign w:val="center"/>
            <w:tcMar>
              <w:top w:w="95" w:type="dxa"/>
              <w:start w:w="115" w:type="dxa"/>
              <w:bottom w:w="95" w:type="dxa"/>
              <w:end w:w="115" w:type="dxa"/>
            </w:tcMar>
          </w:tcPr>
          <w:p>
            <w:pPr>
              <w:spacing w:after="0" w:line="250" w:lineRule="auto"/>
            </w:pPr>
            <w:r/>
            <w:r>
              <w:rPr>
                <w:rFonts w:ascii="Arial" w:hAnsi="Arial"/>
                <w:b w:val="0"/>
                <w:color w:val="202124"/>
                <w:sz w:val="18"/>
              </w:rPr>
              <w:t>Wants a short, understandable brief, source links, and a clear cue when reports disagree. May leave if the interface feels dense or preachy.</w:t>
            </w:r>
          </w:p>
        </w:tc>
      </w:tr>
      <w:tr>
        <w:trPr>
          <w:cantSplit/>
        </w:trPr>
        <w:tc>
          <w:tcPr>
            <w:tcW w:type="dxa" w:w="2088"/>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The skeptical comparer</w:t>
            </w:r>
          </w:p>
        </w:tc>
        <w:tc>
          <w:tcPr>
            <w:tcW w:type="dxa" w:w="3168"/>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Reads several outlets and wants to know whether differences are about facts, emphasis, or interpretation.</w:t>
            </w:r>
          </w:p>
        </w:tc>
        <w:tc>
          <w:tcPr>
            <w:tcW w:type="dxa" w:w="4248"/>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Needs publisher identity, article links, claim-level evidence, and cautious confidence language. Will distrust a single unexplained score.</w:t>
            </w:r>
          </w:p>
        </w:tc>
      </w:tr>
      <w:tr>
        <w:trPr>
          <w:cantSplit/>
        </w:trPr>
        <w:tc>
          <w:tcPr>
            <w:tcW w:type="dxa" w:w="2088"/>
            <w:vAlign w:val="center"/>
            <w:tcMar>
              <w:top w:w="95" w:type="dxa"/>
              <w:start w:w="115" w:type="dxa"/>
              <w:bottom w:w="95" w:type="dxa"/>
              <w:end w:w="115" w:type="dxa"/>
            </w:tcMar>
          </w:tcPr>
          <w:p>
            <w:pPr>
              <w:spacing w:after="0" w:line="250" w:lineRule="auto"/>
            </w:pPr>
            <w:r/>
            <w:r>
              <w:rPr>
                <w:rFonts w:ascii="Arial" w:hAnsi="Arial"/>
                <w:b w:val="0"/>
                <w:color w:val="202124"/>
                <w:sz w:val="18"/>
              </w:rPr>
              <w:t>The topic-focused follower</w:t>
            </w:r>
          </w:p>
        </w:tc>
        <w:tc>
          <w:tcPr>
            <w:tcW w:type="dxa" w:w="3168"/>
            <w:vAlign w:val="center"/>
            <w:tcMar>
              <w:top w:w="95" w:type="dxa"/>
              <w:start w:w="115" w:type="dxa"/>
              <w:bottom w:w="95" w:type="dxa"/>
              <w:end w:w="115" w:type="dxa"/>
            </w:tcMar>
          </w:tcPr>
          <w:p>
            <w:pPr>
              <w:spacing w:after="0" w:line="250" w:lineRule="auto"/>
            </w:pPr>
            <w:r/>
            <w:r>
              <w:rPr>
                <w:rFonts w:ascii="Arial" w:hAnsi="Arial"/>
                <w:b w:val="0"/>
                <w:color w:val="202124"/>
                <w:sz w:val="18"/>
              </w:rPr>
              <w:t>Returns to a few subjects and wants updates in a preferred format.</w:t>
            </w:r>
          </w:p>
        </w:tc>
        <w:tc>
          <w:tcPr>
            <w:tcW w:type="dxa" w:w="4248"/>
            <w:vAlign w:val="center"/>
            <w:tcMar>
              <w:top w:w="95" w:type="dxa"/>
              <w:start w:w="115" w:type="dxa"/>
              <w:bottom w:w="95" w:type="dxa"/>
              <w:end w:w="115" w:type="dxa"/>
            </w:tcMar>
          </w:tcPr>
          <w:p>
            <w:pPr>
              <w:spacing w:after="0" w:line="250" w:lineRule="auto"/>
            </w:pPr>
            <w:r/>
            <w:r>
              <w:rPr>
                <w:rFonts w:ascii="Arial" w:hAnsi="Arial"/>
                <w:b w:val="0"/>
                <w:color w:val="202124"/>
                <w:sz w:val="18"/>
              </w:rPr>
              <w:t>Needs dependable topic selection and usable reading/listening options. Personalization must not hide relevant opposing coverage.</w:t>
            </w:r>
          </w:p>
        </w:tc>
      </w:tr>
    </w:tbl>
    <w:p>
      <w:pPr>
        <w:widowControl/>
        <w:spacing w:after="40" w:before="0" w:line="40" w:lineRule="exact"/>
      </w:pPr>
    </w:p>
    <w:p>
      <w:pPr>
        <w:widowControl/>
      </w:pPr>
      <w:r>
        <w:rPr>
          <w:i w:val="0"/>
        </w:rPr>
        <w:t>Product implication</w:t>
      </w:r>
    </w:p>
    <w:p>
      <w:pPr>
        <w:widowControl/>
      </w:pPr>
      <w:r>
        <w:rPr>
          <w:i w:val="0"/>
        </w:rPr>
        <w:t>Make the source trail and uncertainty visible before adding stronger personalization. Let readers broaden a topic view rather than narrowing it silently.</w:t>
      </w:r>
    </w:p>
    <w:p>
      <w:pPr>
        <w:widowControl/>
        <w:spacing w:before="0" w:after="0"/>
      </w:pPr>
    </w:p>
    <w:p>
      <w:pPr>
        <w:keepNext/>
        <w:widowControl/>
        <w:spacing w:before="260" w:after="80"/>
      </w:pPr>
      <w:r>
        <w:rPr>
          <w:rFonts w:ascii="Arial" w:hAnsi="Arial"/>
          <w:b/>
          <w:color w:val="2A8584"/>
          <w:sz w:val="16"/>
        </w:rPr>
        <w:t>05  /  DEFINE</w:t>
      </w:r>
    </w:p>
    <w:p>
      <w:pPr>
        <w:pStyle w:val="Heading1"/>
        <w:widowControl/>
      </w:pPr>
      <w:r>
        <w:t>Problem Statement and Point of View</w:t>
      </w:r>
    </w:p>
    <w:p>
      <w:pPr>
        <w:keepNext/>
        <w:widowControl/>
        <w:spacing w:after="160"/>
      </w:pPr>
      <w:r>
        <w:rPr>
          <w:color w:val="565B60"/>
          <w:sz w:val="21"/>
        </w:rPr>
        <w:t>A useful product promise is specific, inspectable, and honest about the limits of automated synthesis.</w:t>
      </w:r>
    </w:p>
    <w:p>
      <w:pPr>
        <w:widowControl/>
      </w:pPr>
      <w:r>
        <w:rPr>
          <w:i w:val="0"/>
        </w:rPr>
        <w:t>Problem statement</w:t>
      </w:r>
    </w:p>
    <w:p>
      <w:pPr>
        <w:widowControl/>
      </w:pPr>
      <w:r>
        <w:rPr>
          <w:i w:val="0"/>
        </w:rPr>
        <w:t>Readers encounter fragmented coverage shaped by each publisher’s selection and framing. It can take time to gather the reports, compare claims, and identify what remains uncertain. WeAware aims to reduce that effort by grouping related reporting and presenting source-linked summaries with differences visible.</w:t>
      </w:r>
    </w:p>
    <w:p>
      <w:pPr>
        <w:widowControl/>
      </w:pPr>
      <w:r>
        <w:rPr>
          <w:i w:val="0"/>
        </w:rPr>
        <w:t>Point of view</w:t>
      </w:r>
    </w:p>
    <w:p>
      <w:pPr>
        <w:widowControl/>
      </w:pPr>
      <w:r>
        <w:rPr>
          <w:i w:val="0"/>
        </w:rPr>
        <w:t>A reader who wants to understand a consequential story needs a clear, multi-source account with traceable claims, because a concise summary is useful only when the reader can inspect its evidence and limitations.</w:t>
      </w:r>
    </w:p>
    <w:p>
      <w:pPr>
        <w:widowControl/>
      </w:pPr>
      <w:r>
        <w:rPr>
          <w:i w:val="0"/>
        </w:rPr>
        <w:t>How might we</w:t>
      </w:r>
    </w:p>
    <w:p>
      <w:pPr>
        <w:pStyle w:val="ListBullet"/>
        <w:widowControl/>
        <w:spacing w:after="60"/>
        <w:ind w:left="317" w:hanging="216"/>
      </w:pPr>
      <w:r>
        <w:t>Help readers compare multiple reports without flattening meaningful disagreement?</w:t>
      </w:r>
    </w:p>
    <w:p>
      <w:pPr>
        <w:pStyle w:val="ListBullet"/>
        <w:widowControl/>
        <w:spacing w:after="60"/>
        <w:ind w:left="317" w:hanging="216"/>
      </w:pPr>
      <w:r>
        <w:t>Make it obvious which statements are corroborated, disputed, or not yet established?</w:t>
      </w:r>
    </w:p>
    <w:p>
      <w:pPr>
        <w:pStyle w:val="ListBullet"/>
        <w:widowControl/>
        <w:spacing w:after="60"/>
        <w:ind w:left="317" w:hanging="216"/>
      </w:pPr>
      <w:r>
        <w:t>Reduce reading effort while preserving publisher attribution and links?</w:t>
      </w:r>
    </w:p>
    <w:p>
      <w:pPr>
        <w:pStyle w:val="ListBullet"/>
        <w:widowControl/>
        <w:spacing w:after="60"/>
        <w:ind w:left="317" w:hanging="216"/>
      </w:pPr>
      <w:r>
        <w:t>Explain when a story is a sample, an automated output, or a reviewed publication?</w:t>
      </w:r>
    </w:p>
    <w:p>
      <w:pPr>
        <w:widowControl/>
        <w:spacing w:before="80" w:after="100"/>
      </w:pPr>
      <w:r>
        <w:rPr>
          <w:i/>
          <w:color w:val="565B60"/>
          <w:sz w:val="17"/>
        </w:rPr>
        <w:t>“Bias-free” is the presentation’s aspiration. The product requirement here is to reduce avoidable framing effects and expose evidence; complete neutrality cannot be guaranteed by a label or algorithm.</w:t>
      </w:r>
    </w:p>
    <w:p>
      <w:pPr>
        <w:widowControl/>
        <w:spacing w:before="0" w:after="0"/>
      </w:pPr>
    </w:p>
    <w:p>
      <w:pPr>
        <w:keepNext/>
        <w:widowControl/>
        <w:spacing w:before="260" w:after="80"/>
      </w:pPr>
      <w:r>
        <w:rPr>
          <w:rFonts w:ascii="Arial" w:hAnsi="Arial"/>
          <w:b/>
          <w:color w:val="2A8584"/>
          <w:sz w:val="16"/>
        </w:rPr>
        <w:t>06  /  IDEATE</w:t>
      </w:r>
    </w:p>
    <w:p>
      <w:pPr>
        <w:pStyle w:val="Heading1"/>
        <w:widowControl/>
      </w:pPr>
      <w:r>
        <w:t>SCAMPER for the Product</w:t>
      </w:r>
    </w:p>
    <w:p>
      <w:pPr>
        <w:keepNext/>
        <w:widowControl/>
        <w:spacing w:after="160"/>
      </w:pPr>
      <w:r>
        <w:rPr>
          <w:color w:val="565B60"/>
          <w:sz w:val="21"/>
        </w:rPr>
        <w:t>Use structured prompts to expand the concept while keeping trust and source traceability central.</w:t>
      </w:r>
    </w:p>
    <w:tbl>
      <w:tblPr>
        <w:tblW w:type="auto" w:w="0"/>
        <w:jc w:val="center"/>
        <w:tblLayout w:type="fixed"/>
        <w:tblLook w:firstColumn="1" w:firstRow="1" w:lastColumn="0" w:lastRow="0" w:noHBand="0" w:noVBand="1" w:val="04A0"/>
        <w:tblBorders>
          <w:top w:val="single" w:sz="5" w:color="CDD3D3"/>
          <w:left w:val="single" w:sz="5" w:color="CDD3D3"/>
          <w:bottom w:val="single" w:sz="5" w:color="CDD3D3"/>
          <w:right w:val="single" w:sz="5" w:color="CDD3D3"/>
          <w:insideH w:val="single" w:sz="5" w:color="CDD3D3"/>
          <w:insideV w:val="single" w:sz="5" w:color="CDD3D3"/>
        </w:tblBorders>
      </w:tblPr>
      <w:tblGrid>
        <w:gridCol w:w="1800"/>
        <w:gridCol w:w="4104"/>
        <w:gridCol w:w="3600"/>
      </w:tblGrid>
      <w:tr>
        <w:trPr>
          <w:cantSplit/>
          <w:tblHeader w:val="true"/>
        </w:trPr>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7"/>
              </w:rPr>
              <w:t>Prompt</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7"/>
              </w:rPr>
              <w:t>Idea for WeAware</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7"/>
              </w:rPr>
              <w:t>Guardrail</w:t>
            </w:r>
          </w:p>
        </w:tc>
      </w:tr>
      <w:tr>
        <w:trPr>
          <w:cantSplit/>
        </w:trPr>
        <w:tc>
          <w:tcPr>
            <w:tcW w:type="dxa" w:w="1800"/>
            <w:vAlign w:val="center"/>
            <w:tcMar>
              <w:top w:w="95" w:type="dxa"/>
              <w:start w:w="115" w:type="dxa"/>
              <w:bottom w:w="95" w:type="dxa"/>
              <w:end w:w="115" w:type="dxa"/>
            </w:tcMar>
          </w:tcPr>
          <w:p>
            <w:pPr>
              <w:spacing w:after="0" w:line="250" w:lineRule="auto"/>
            </w:pPr>
            <w:r/>
            <w:r>
              <w:rPr>
                <w:rFonts w:ascii="Arial" w:hAnsi="Arial"/>
                <w:b w:val="0"/>
                <w:color w:val="202124"/>
                <w:sz w:val="17"/>
              </w:rPr>
              <w:t>Substitute</w:t>
            </w:r>
          </w:p>
        </w:tc>
        <w:tc>
          <w:tcPr>
            <w:tcW w:type="dxa" w:w="4104"/>
            <w:vAlign w:val="center"/>
            <w:tcMar>
              <w:top w:w="95" w:type="dxa"/>
              <w:start w:w="115" w:type="dxa"/>
              <w:bottom w:w="95" w:type="dxa"/>
              <w:end w:w="115" w:type="dxa"/>
            </w:tcMar>
          </w:tcPr>
          <w:p>
            <w:pPr>
              <w:spacing w:after="0" w:line="250" w:lineRule="auto"/>
            </w:pPr>
            <w:r/>
            <w:r>
              <w:rPr>
                <w:rFonts w:ascii="Arial" w:hAnsi="Arial"/>
                <w:b w:val="0"/>
                <w:color w:val="202124"/>
                <w:sz w:val="17"/>
              </w:rPr>
              <w:t>Replace a single outlet’s summary with a source-linked synthesis across reports.</w:t>
            </w:r>
          </w:p>
        </w:tc>
        <w:tc>
          <w:tcPr>
            <w:tcW w:type="dxa" w:w="3600"/>
            <w:vAlign w:val="center"/>
            <w:tcMar>
              <w:top w:w="95" w:type="dxa"/>
              <w:start w:w="115" w:type="dxa"/>
              <w:bottom w:w="95" w:type="dxa"/>
              <w:end w:w="115" w:type="dxa"/>
            </w:tcMar>
          </w:tcPr>
          <w:p>
            <w:pPr>
              <w:spacing w:after="0" w:line="250" w:lineRule="auto"/>
            </w:pPr>
            <w:r/>
            <w:r>
              <w:rPr>
                <w:rFonts w:ascii="Arial" w:hAnsi="Arial"/>
                <w:b w:val="0"/>
                <w:color w:val="202124"/>
                <w:sz w:val="17"/>
              </w:rPr>
              <w:t>Preserve original links and publisher names.</w:t>
            </w:r>
          </w:p>
        </w:tc>
      </w:tr>
      <w:tr>
        <w:trPr>
          <w:cantSplit/>
        </w:trPr>
        <w:tc>
          <w:tcPr>
            <w:tcW w:type="dxa" w:w="1800"/>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Combine</w:t>
            </w:r>
          </w:p>
        </w:tc>
        <w:tc>
          <w:tcPr>
            <w:tcW w:type="dxa" w:w="4104"/>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Combine a concise brief with a claim comparison and source list.</w:t>
            </w:r>
          </w:p>
        </w:tc>
        <w:tc>
          <w:tcPr>
            <w:tcW w:type="dxa" w:w="3600"/>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Show disagreement explicitly; do not average it away.</w:t>
            </w:r>
          </w:p>
        </w:tc>
      </w:tr>
      <w:tr>
        <w:trPr>
          <w:cantSplit/>
        </w:trPr>
        <w:tc>
          <w:tcPr>
            <w:tcW w:type="dxa" w:w="1800"/>
            <w:vAlign w:val="center"/>
            <w:tcMar>
              <w:top w:w="95" w:type="dxa"/>
              <w:start w:w="115" w:type="dxa"/>
              <w:bottom w:w="95" w:type="dxa"/>
              <w:end w:w="115" w:type="dxa"/>
            </w:tcMar>
          </w:tcPr>
          <w:p>
            <w:pPr>
              <w:spacing w:after="0" w:line="250" w:lineRule="auto"/>
            </w:pPr>
            <w:r/>
            <w:r>
              <w:rPr>
                <w:rFonts w:ascii="Arial" w:hAnsi="Arial"/>
                <w:b w:val="0"/>
                <w:color w:val="202124"/>
                <w:sz w:val="17"/>
              </w:rPr>
              <w:t>Adapt</w:t>
            </w:r>
          </w:p>
        </w:tc>
        <w:tc>
          <w:tcPr>
            <w:tcW w:type="dxa" w:w="4104"/>
            <w:vAlign w:val="center"/>
            <w:tcMar>
              <w:top w:w="95" w:type="dxa"/>
              <w:start w:w="115" w:type="dxa"/>
              <w:bottom w:w="95" w:type="dxa"/>
              <w:end w:w="115" w:type="dxa"/>
            </w:tcMar>
          </w:tcPr>
          <w:p>
            <w:pPr>
              <w:spacing w:after="0" w:line="250" w:lineRule="auto"/>
            </w:pPr>
            <w:r/>
            <w:r>
              <w:rPr>
                <w:rFonts w:ascii="Arial" w:hAnsi="Arial"/>
                <w:b w:val="0"/>
                <w:color w:val="202124"/>
                <w:sz w:val="17"/>
              </w:rPr>
              <w:t>Adapt the same story record for web reading, email, audio, and vertical video.</w:t>
            </w:r>
          </w:p>
        </w:tc>
        <w:tc>
          <w:tcPr>
            <w:tcW w:type="dxa" w:w="3600"/>
            <w:vAlign w:val="center"/>
            <w:tcMar>
              <w:top w:w="95" w:type="dxa"/>
              <w:start w:w="115" w:type="dxa"/>
              <w:bottom w:w="95" w:type="dxa"/>
              <w:end w:w="115" w:type="dxa"/>
            </w:tcMar>
          </w:tcPr>
          <w:p>
            <w:pPr>
              <w:spacing w:after="0" w:line="250" w:lineRule="auto"/>
            </w:pPr>
            <w:r/>
            <w:r>
              <w:rPr>
                <w:rFonts w:ascii="Arial" w:hAnsi="Arial"/>
                <w:b w:val="0"/>
                <w:color w:val="202124"/>
                <w:sz w:val="17"/>
              </w:rPr>
              <w:t>Keep claims and citations consistent across formats.</w:t>
            </w:r>
          </w:p>
        </w:tc>
      </w:tr>
      <w:tr>
        <w:trPr>
          <w:cantSplit/>
        </w:trPr>
        <w:tc>
          <w:tcPr>
            <w:tcW w:type="dxa" w:w="1800"/>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Modify</w:t>
            </w:r>
          </w:p>
        </w:tc>
        <w:tc>
          <w:tcPr>
            <w:tcW w:type="dxa" w:w="4104"/>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Offer concise and detailed reading modes.</w:t>
            </w:r>
          </w:p>
        </w:tc>
        <w:tc>
          <w:tcPr>
            <w:tcW w:type="dxa" w:w="3600"/>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Do not remove caveats from the short version.</w:t>
            </w:r>
          </w:p>
        </w:tc>
      </w:tr>
      <w:tr>
        <w:trPr>
          <w:cantSplit/>
        </w:trPr>
        <w:tc>
          <w:tcPr>
            <w:tcW w:type="dxa" w:w="1800"/>
            <w:vAlign w:val="center"/>
            <w:tcMar>
              <w:top w:w="95" w:type="dxa"/>
              <w:start w:w="115" w:type="dxa"/>
              <w:bottom w:w="95" w:type="dxa"/>
              <w:end w:w="115" w:type="dxa"/>
            </w:tcMar>
          </w:tcPr>
          <w:p>
            <w:pPr>
              <w:spacing w:after="0" w:line="250" w:lineRule="auto"/>
            </w:pPr>
            <w:r/>
            <w:r>
              <w:rPr>
                <w:rFonts w:ascii="Arial" w:hAnsi="Arial"/>
                <w:b w:val="0"/>
                <w:color w:val="202124"/>
                <w:sz w:val="17"/>
              </w:rPr>
              <w:t>Put to another use</w:t>
            </w:r>
          </w:p>
        </w:tc>
        <w:tc>
          <w:tcPr>
            <w:tcW w:type="dxa" w:w="4104"/>
            <w:vAlign w:val="center"/>
            <w:tcMar>
              <w:top w:w="95" w:type="dxa"/>
              <w:start w:w="115" w:type="dxa"/>
              <w:bottom w:w="95" w:type="dxa"/>
              <w:end w:w="115" w:type="dxa"/>
            </w:tcMar>
          </w:tcPr>
          <w:p>
            <w:pPr>
              <w:spacing w:after="0" w:line="250" w:lineRule="auto"/>
            </w:pPr>
            <w:r/>
            <w:r>
              <w:rPr>
                <w:rFonts w:ascii="Arial" w:hAnsi="Arial"/>
                <w:b w:val="0"/>
                <w:color w:val="202124"/>
                <w:sz w:val="17"/>
              </w:rPr>
              <w:t>Use the clustered source set as a starting point for a reader’s own research.</w:t>
            </w:r>
          </w:p>
        </w:tc>
        <w:tc>
          <w:tcPr>
            <w:tcW w:type="dxa" w:w="3600"/>
            <w:vAlign w:val="center"/>
            <w:tcMar>
              <w:top w:w="95" w:type="dxa"/>
              <w:start w:w="115" w:type="dxa"/>
              <w:bottom w:w="95" w:type="dxa"/>
              <w:end w:w="115" w:type="dxa"/>
            </w:tcMar>
          </w:tcPr>
          <w:p>
            <w:pPr>
              <w:spacing w:after="0" w:line="250" w:lineRule="auto"/>
            </w:pPr>
            <w:r/>
            <w:r>
              <w:rPr>
                <w:rFonts w:ascii="Arial" w:hAnsi="Arial"/>
                <w:b w:val="0"/>
                <w:color w:val="202124"/>
                <w:sz w:val="17"/>
              </w:rPr>
              <w:t>Show coverage gaps and avoid implying completeness.</w:t>
            </w:r>
          </w:p>
        </w:tc>
      </w:tr>
      <w:tr>
        <w:trPr>
          <w:cantSplit/>
        </w:trPr>
        <w:tc>
          <w:tcPr>
            <w:tcW w:type="dxa" w:w="1800"/>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Eliminate</w:t>
            </w:r>
          </w:p>
        </w:tc>
        <w:tc>
          <w:tcPr>
            <w:tcW w:type="dxa" w:w="4104"/>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Remove repeated headline noise and unnecessary navigation.</w:t>
            </w:r>
          </w:p>
        </w:tc>
        <w:tc>
          <w:tcPr>
            <w:tcW w:type="dxa" w:w="3600"/>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Do not remove meaningful differences between accounts.</w:t>
            </w:r>
          </w:p>
        </w:tc>
      </w:tr>
      <w:tr>
        <w:trPr>
          <w:cantSplit/>
        </w:trPr>
        <w:tc>
          <w:tcPr>
            <w:tcW w:type="dxa" w:w="1800"/>
            <w:vAlign w:val="center"/>
            <w:tcMar>
              <w:top w:w="95" w:type="dxa"/>
              <w:start w:w="115" w:type="dxa"/>
              <w:bottom w:w="95" w:type="dxa"/>
              <w:end w:w="115" w:type="dxa"/>
            </w:tcMar>
          </w:tcPr>
          <w:p>
            <w:pPr>
              <w:spacing w:after="0" w:line="250" w:lineRule="auto"/>
            </w:pPr>
            <w:r/>
            <w:r>
              <w:rPr>
                <w:rFonts w:ascii="Arial" w:hAnsi="Arial"/>
                <w:b w:val="0"/>
                <w:color w:val="202124"/>
                <w:sz w:val="17"/>
              </w:rPr>
              <w:t>Reverse / rearrange</w:t>
            </w:r>
          </w:p>
        </w:tc>
        <w:tc>
          <w:tcPr>
            <w:tcW w:type="dxa" w:w="4104"/>
            <w:vAlign w:val="center"/>
            <w:tcMar>
              <w:top w:w="95" w:type="dxa"/>
              <w:start w:w="115" w:type="dxa"/>
              <w:bottom w:w="95" w:type="dxa"/>
              <w:end w:w="115" w:type="dxa"/>
            </w:tcMar>
          </w:tcPr>
          <w:p>
            <w:pPr>
              <w:spacing w:after="0" w:line="250" w:lineRule="auto"/>
            </w:pPr>
            <w:r/>
            <w:r>
              <w:rPr>
                <w:rFonts w:ascii="Arial" w:hAnsi="Arial"/>
                <w:b w:val="0"/>
                <w:color w:val="202124"/>
                <w:sz w:val="17"/>
              </w:rPr>
              <w:t>Let the reader begin with source comparison before reading the synthesis.</w:t>
            </w:r>
          </w:p>
        </w:tc>
        <w:tc>
          <w:tcPr>
            <w:tcW w:type="dxa" w:w="3600"/>
            <w:vAlign w:val="center"/>
            <w:tcMar>
              <w:top w:w="95" w:type="dxa"/>
              <w:start w:w="115" w:type="dxa"/>
              <w:bottom w:w="95" w:type="dxa"/>
              <w:end w:w="115" w:type="dxa"/>
            </w:tcMar>
          </w:tcPr>
          <w:p>
            <w:pPr>
              <w:spacing w:after="0" w:line="250" w:lineRule="auto"/>
            </w:pPr>
            <w:r/>
            <w:r>
              <w:rPr>
                <w:rFonts w:ascii="Arial" w:hAnsi="Arial"/>
                <w:b w:val="0"/>
                <w:color w:val="202124"/>
                <w:sz w:val="17"/>
              </w:rPr>
              <w:t>Make the flow optional and easy to navigate.</w:t>
            </w:r>
          </w:p>
        </w:tc>
      </w:tr>
    </w:tbl>
    <w:p>
      <w:pPr>
        <w:widowControl/>
        <w:spacing w:after="40" w:before="0" w:line="40" w:lineRule="exact"/>
      </w:pPr>
    </w:p>
    <w:p>
      <w:pPr>
        <w:widowControl/>
        <w:spacing w:before="0" w:after="0"/>
      </w:pPr>
    </w:p>
    <w:p>
      <w:pPr>
        <w:keepNext/>
        <w:widowControl/>
        <w:spacing w:before="260" w:after="80"/>
      </w:pPr>
      <w:r>
        <w:rPr>
          <w:rFonts w:ascii="Arial" w:hAnsi="Arial"/>
          <w:b/>
          <w:color w:val="2A8584"/>
          <w:sz w:val="16"/>
        </w:rPr>
        <w:t>07  /  PROTOTYPE</w:t>
      </w:r>
    </w:p>
    <w:p>
      <w:pPr>
        <w:pStyle w:val="Heading1"/>
        <w:widowControl/>
      </w:pPr>
      <w:r>
        <w:t>Product and Technical Prototype</w:t>
      </w:r>
    </w:p>
    <w:p>
      <w:pPr>
        <w:keepNext/>
        <w:widowControl/>
        <w:spacing w:after="160"/>
      </w:pPr>
      <w:r>
        <w:rPr>
          <w:color w:val="565B60"/>
          <w:sz w:val="21"/>
        </w:rPr>
        <w:t>The codebase contains a web experience, a news-ingestion service, an API, and a distinct short-video pipeline.</w:t>
      </w:r>
    </w:p>
    <w:tbl>
      <w:tblPr>
        <w:tblW w:type="auto" w:w="0"/>
        <w:jc w:val="center"/>
        <w:tblLayout w:type="fixed"/>
        <w:tblLook w:firstColumn="1" w:firstRow="1" w:lastColumn="0" w:lastRow="0" w:noHBand="0" w:noVBand="1" w:val="04A0"/>
        <w:tblBorders>
          <w:top w:val="single" w:sz="5" w:color="CDD3D3"/>
          <w:left w:val="single" w:sz="5" w:color="CDD3D3"/>
          <w:bottom w:val="single" w:sz="5" w:color="CDD3D3"/>
          <w:right w:val="single" w:sz="5" w:color="CDD3D3"/>
          <w:insideH w:val="single" w:sz="5" w:color="CDD3D3"/>
          <w:insideV w:val="single" w:sz="5" w:color="CDD3D3"/>
        </w:tblBorders>
      </w:tblPr>
      <w:tblGrid>
        <w:gridCol w:w="1800"/>
        <w:gridCol w:w="7704"/>
      </w:tblGrid>
      <w:tr>
        <w:trPr>
          <w:cantSplit/>
          <w:tblHeader w:val="true"/>
        </w:trPr>
        <w:tc>
          <w:tcPr>
            <w:tcW w:type="dxa" w:w="4997"/>
            <w:shd w:fill="315C66"/>
            <w:vAlign w:val="center"/>
            <w:tcMar>
              <w:top w:w="95" w:type="dxa"/>
              <w:start w:w="115" w:type="dxa"/>
              <w:bottom w:w="95" w:type="dxa"/>
              <w:end w:w="115" w:type="dxa"/>
            </w:tcMar>
          </w:tcPr>
          <w:p>
            <w:pPr>
              <w:spacing w:after="0" w:line="250" w:lineRule="auto"/>
            </w:pPr>
            <w:r/>
            <w:r>
              <w:rPr>
                <w:rFonts w:ascii="Arial" w:hAnsi="Arial"/>
                <w:b/>
                <w:color w:val="FFFFFF"/>
                <w:sz w:val="17"/>
              </w:rPr>
              <w:t>Layer</w:t>
            </w:r>
          </w:p>
        </w:tc>
        <w:tc>
          <w:tcPr>
            <w:tcW w:type="dxa" w:w="4997"/>
            <w:shd w:fill="315C66"/>
            <w:vAlign w:val="center"/>
            <w:tcMar>
              <w:top w:w="95" w:type="dxa"/>
              <w:start w:w="115" w:type="dxa"/>
              <w:bottom w:w="95" w:type="dxa"/>
              <w:end w:w="115" w:type="dxa"/>
            </w:tcMar>
          </w:tcPr>
          <w:p>
            <w:pPr>
              <w:spacing w:after="0" w:line="250" w:lineRule="auto"/>
            </w:pPr>
            <w:r/>
            <w:r>
              <w:rPr>
                <w:rFonts w:ascii="Arial" w:hAnsi="Arial"/>
                <w:b/>
                <w:color w:val="FFFFFF"/>
                <w:sz w:val="17"/>
              </w:rPr>
              <w:t>What the repository shows</w:t>
            </w:r>
          </w:p>
        </w:tc>
      </w:tr>
      <w:tr>
        <w:trPr>
          <w:cantSplit/>
        </w:trPr>
        <w:tc>
          <w:tcPr>
            <w:tcW w:type="dxa" w:w="1800"/>
            <w:vAlign w:val="center"/>
            <w:tcMar>
              <w:top w:w="95" w:type="dxa"/>
              <w:start w:w="115" w:type="dxa"/>
              <w:bottom w:w="95" w:type="dxa"/>
              <w:end w:w="115" w:type="dxa"/>
            </w:tcMar>
          </w:tcPr>
          <w:p>
            <w:pPr>
              <w:spacing w:after="0" w:line="250" w:lineRule="auto"/>
            </w:pPr>
            <w:r/>
            <w:r>
              <w:rPr>
                <w:rFonts w:ascii="Arial" w:hAnsi="Arial"/>
                <w:b w:val="0"/>
                <w:color w:val="202124"/>
                <w:sz w:val="17"/>
              </w:rPr>
              <w:t>Web interface</w:t>
            </w:r>
          </w:p>
        </w:tc>
        <w:tc>
          <w:tcPr>
            <w:tcW w:type="dxa" w:w="7704"/>
            <w:vAlign w:val="center"/>
            <w:tcMar>
              <w:top w:w="95" w:type="dxa"/>
              <w:start w:w="115" w:type="dxa"/>
              <w:bottom w:w="95" w:type="dxa"/>
              <w:end w:w="115" w:type="dxa"/>
            </w:tcMar>
          </w:tcPr>
          <w:p>
            <w:pPr>
              <w:spacing w:after="0" w:line="250" w:lineRule="auto"/>
            </w:pPr>
            <w:r/>
            <w:r>
              <w:rPr>
                <w:rFonts w:ascii="Arial" w:hAnsi="Arial"/>
                <w:b w:val="0"/>
                <w:color w:val="202124"/>
                <w:sz w:val="17"/>
              </w:rPr>
              <w:t>React + Vite app with feed, topic filtering, search, story reader, About, newsletter, podcast, theme, share, and listen-related components. Story examples are bundled in local JavaScript data.</w:t>
            </w:r>
          </w:p>
        </w:tc>
      </w:tr>
      <w:tr>
        <w:trPr>
          <w:cantSplit/>
        </w:trPr>
        <w:tc>
          <w:tcPr>
            <w:tcW w:type="dxa" w:w="1800"/>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News ingestion</w:t>
            </w:r>
          </w:p>
        </w:tc>
        <w:tc>
          <w:tcPr>
            <w:tcW w:type="dxa" w:w="7704"/>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RSS, NewsAPI, and Bluesky adapters feed normalization, intra-source URL deduplication, cross-source clustering, persistence, and extraction for short or failed article text.</w:t>
            </w:r>
          </w:p>
        </w:tc>
      </w:tr>
      <w:tr>
        <w:trPr>
          <w:cantSplit/>
        </w:trPr>
        <w:tc>
          <w:tcPr>
            <w:tcW w:type="dxa" w:w="1800"/>
            <w:vAlign w:val="center"/>
            <w:tcMar>
              <w:top w:w="95" w:type="dxa"/>
              <w:start w:w="115" w:type="dxa"/>
              <w:bottom w:w="95" w:type="dxa"/>
              <w:end w:w="115" w:type="dxa"/>
            </w:tcMar>
          </w:tcPr>
          <w:p>
            <w:pPr>
              <w:spacing w:after="0" w:line="250" w:lineRule="auto"/>
            </w:pPr>
            <w:r/>
            <w:r>
              <w:rPr>
                <w:rFonts w:ascii="Arial" w:hAnsi="Arial"/>
                <w:b w:val="0"/>
                <w:color w:val="202124"/>
                <w:sz w:val="17"/>
              </w:rPr>
              <w:t>Story grouping</w:t>
            </w:r>
          </w:p>
        </w:tc>
        <w:tc>
          <w:tcPr>
            <w:tcW w:type="dxa" w:w="7704"/>
            <w:vAlign w:val="center"/>
            <w:tcMar>
              <w:top w:w="95" w:type="dxa"/>
              <w:start w:w="115" w:type="dxa"/>
              <w:bottom w:w="95" w:type="dxa"/>
              <w:end w:w="115" w:type="dxa"/>
            </w:tcMar>
          </w:tcPr>
          <w:p>
            <w:pPr>
              <w:spacing w:after="0" w:line="250" w:lineRule="auto"/>
            </w:pPr>
            <w:r/>
            <w:r>
              <w:rPr>
                <w:rFonts w:ascii="Arial" w:hAnsi="Arial"/>
                <w:b w:val="0"/>
                <w:color w:val="202124"/>
                <w:sz w:val="17"/>
              </w:rPr>
              <w:t>Hybrid clustering can use title word overlap as a fast path, then named entities and multilingual embeddings for candidate matching; configuration also supports Jaccard mode.</w:t>
            </w:r>
          </w:p>
        </w:tc>
      </w:tr>
      <w:tr>
        <w:trPr>
          <w:cantSplit/>
        </w:trPr>
        <w:tc>
          <w:tcPr>
            <w:tcW w:type="dxa" w:w="1800"/>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Story API</w:t>
            </w:r>
          </w:p>
        </w:tc>
        <w:tc>
          <w:tcPr>
            <w:tcW w:type="dxa" w:w="7704"/>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FastAPI service queries corroborated stories, filters candidates, returns story/source material, and supports marking a story as posted.</w:t>
            </w:r>
          </w:p>
        </w:tc>
      </w:tr>
      <w:tr>
        <w:trPr>
          <w:cantSplit/>
        </w:trPr>
        <w:tc>
          <w:tcPr>
            <w:tcW w:type="dxa" w:w="1800"/>
            <w:vAlign w:val="center"/>
            <w:tcMar>
              <w:top w:w="95" w:type="dxa"/>
              <w:start w:w="115" w:type="dxa"/>
              <w:bottom w:w="95" w:type="dxa"/>
              <w:end w:w="115" w:type="dxa"/>
            </w:tcMar>
          </w:tcPr>
          <w:p>
            <w:pPr>
              <w:spacing w:after="0" w:line="250" w:lineRule="auto"/>
            </w:pPr>
            <w:r/>
            <w:r>
              <w:rPr>
                <w:rFonts w:ascii="Arial" w:hAnsi="Arial"/>
                <w:b w:val="0"/>
                <w:color w:val="202124"/>
                <w:sz w:val="17"/>
              </w:rPr>
              <w:t>Video workflow</w:t>
            </w:r>
          </w:p>
        </w:tc>
        <w:tc>
          <w:tcPr>
            <w:tcW w:type="dxa" w:w="7704"/>
            <w:vAlign w:val="center"/>
            <w:tcMar>
              <w:top w:w="95" w:type="dxa"/>
              <w:start w:w="115" w:type="dxa"/>
              <w:bottom w:w="95" w:type="dxa"/>
              <w:end w:w="115" w:type="dxa"/>
            </w:tcMar>
          </w:tcPr>
          <w:p>
            <w:pPr>
              <w:spacing w:after="0" w:line="250" w:lineRule="auto"/>
            </w:pPr>
            <w:r/>
            <w:r>
              <w:rPr>
                <w:rFonts w:ascii="Arial" w:hAnsi="Arial"/>
                <w:b w:val="0"/>
                <w:color w:val="202124"/>
                <w:sz w:val="17"/>
              </w:rPr>
              <w:t>Separate pipeline selects eligible multi-source stories, generates and edits scripts, creates video with Vertex AI Veo, post-processes media, and routes output through a human approval flow.</w:t>
            </w:r>
          </w:p>
        </w:tc>
      </w:tr>
    </w:tbl>
    <w:p>
      <w:pPr>
        <w:widowControl/>
        <w:spacing w:after="40" w:before="0" w:line="40" w:lineRule="exact"/>
      </w:pPr>
    </w:p>
    <w:p>
      <w:pPr>
        <w:widowControl/>
      </w:pPr>
      <w:r>
        <w:rPr>
          <w:i w:val="0"/>
        </w:rPr>
        <w:t>End-to-end flow</w:t>
      </w:r>
    </w:p>
    <w:p>
      <w:pPr>
        <w:widowControl/>
      </w:pPr>
      <w:r>
        <w:rPr>
          <w:i w:val="0"/>
        </w:rPr>
        <w:t>Feeds and APIs → normalize and deduplicate → group related items → store items and stories → expose eligible stories → render reader-facing formats. The video pipeline branches from eligible stories and has its own generation, review, and publication workflow.</w:t>
      </w:r>
    </w:p>
    <w:p>
      <w:pPr>
        <w:widowControl/>
        <w:spacing w:before="80" w:after="100"/>
      </w:pPr>
      <w:r>
        <w:rPr>
          <w:i/>
          <w:color w:val="565B60"/>
          <w:sz w:val="17"/>
        </w:rPr>
        <w:t>The repository does not show a live connection from the bundled React sample feed to the ingestion API. The presentation describes additional mobile apps and social channels; those are not present in the reviewed repository paths.</w:t>
      </w:r>
    </w:p>
    <w:p>
      <w:pPr>
        <w:widowControl/>
        <w:spacing w:before="0" w:after="0"/>
      </w:pPr>
    </w:p>
    <w:p>
      <w:pPr>
        <w:keepNext/>
        <w:widowControl/>
        <w:spacing w:before="260" w:after="80"/>
      </w:pPr>
      <w:r>
        <w:rPr>
          <w:rFonts w:ascii="Arial" w:hAnsi="Arial"/>
          <w:b/>
          <w:color w:val="2A8584"/>
          <w:sz w:val="16"/>
        </w:rPr>
        <w:t>08  /  TEST AND SERVICE SCOPE</w:t>
      </w:r>
    </w:p>
    <w:p>
      <w:pPr>
        <w:pStyle w:val="Heading1"/>
        <w:widowControl/>
      </w:pPr>
      <w:r>
        <w:t>Operational Expectations</w:t>
      </w:r>
    </w:p>
    <w:p>
      <w:pPr>
        <w:keepNext/>
        <w:widowControl/>
        <w:spacing w:after="160"/>
      </w:pPr>
      <w:r>
        <w:rPr>
          <w:color w:val="565B60"/>
          <w:sz w:val="21"/>
        </w:rPr>
        <w:t>Separate current configuration from service commitments. The code provides some operating defaults, but no measured uptime or response-time record.</w:t>
      </w:r>
    </w:p>
    <w:tbl>
      <w:tblPr>
        <w:tblW w:type="auto" w:w="0"/>
        <w:jc w:val="center"/>
        <w:tblLayout w:type="fixed"/>
        <w:tblLook w:firstColumn="1" w:firstRow="1" w:lastColumn="0" w:lastRow="0" w:noHBand="0" w:noVBand="1" w:val="04A0"/>
        <w:tblBorders>
          <w:top w:val="single" w:sz="5" w:color="CDD3D3"/>
          <w:left w:val="single" w:sz="5" w:color="CDD3D3"/>
          <w:bottom w:val="single" w:sz="5" w:color="CDD3D3"/>
          <w:right w:val="single" w:sz="5" w:color="CDD3D3"/>
          <w:insideH w:val="single" w:sz="5" w:color="CDD3D3"/>
          <w:insideV w:val="single" w:sz="5" w:color="CDD3D3"/>
        </w:tblBorders>
      </w:tblPr>
      <w:tblGrid>
        <w:gridCol w:w="1656"/>
        <w:gridCol w:w="4032"/>
        <w:gridCol w:w="3816"/>
      </w:tblGrid>
      <w:tr>
        <w:trPr>
          <w:cantSplit/>
          <w:tblHeader w:val="true"/>
        </w:trPr>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7"/>
              </w:rPr>
              <w:t>Area</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7"/>
              </w:rPr>
              <w:t>Evidence in repository</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7"/>
              </w:rPr>
              <w:t>Service expectation to agree</w:t>
            </w:r>
          </w:p>
        </w:tc>
      </w:tr>
      <w:tr>
        <w:trPr>
          <w:cantSplit/>
        </w:trPr>
        <w:tc>
          <w:tcPr>
            <w:tcW w:type="dxa" w:w="1656"/>
            <w:vAlign w:val="center"/>
            <w:tcMar>
              <w:top w:w="95" w:type="dxa"/>
              <w:start w:w="115" w:type="dxa"/>
              <w:bottom w:w="95" w:type="dxa"/>
              <w:end w:w="115" w:type="dxa"/>
            </w:tcMar>
          </w:tcPr>
          <w:p>
            <w:pPr>
              <w:spacing w:after="0" w:line="250" w:lineRule="auto"/>
            </w:pPr>
            <w:r/>
            <w:r>
              <w:rPr>
                <w:rFonts w:ascii="Arial" w:hAnsi="Arial"/>
                <w:b w:val="0"/>
                <w:color w:val="202124"/>
                <w:sz w:val="17"/>
              </w:rPr>
              <w:t>Collection cadence</w:t>
            </w:r>
          </w:p>
        </w:tc>
        <w:tc>
          <w:tcPr>
            <w:tcW w:type="dxa" w:w="4032"/>
            <w:vAlign w:val="center"/>
            <w:tcMar>
              <w:top w:w="95" w:type="dxa"/>
              <w:start w:w="115" w:type="dxa"/>
              <w:bottom w:w="95" w:type="dxa"/>
              <w:end w:w="115" w:type="dxa"/>
            </w:tcMar>
          </w:tcPr>
          <w:p>
            <w:pPr>
              <w:spacing w:after="0" w:line="250" w:lineRule="auto"/>
            </w:pPr>
            <w:r/>
            <w:r>
              <w:rPr>
                <w:rFonts w:ascii="Arial" w:hAnsi="Arial"/>
                <w:b w:val="0"/>
                <w:color w:val="202124"/>
                <w:sz w:val="17"/>
              </w:rPr>
              <w:t>Primary and secondary polling defaults are 300 and 900 seconds in backend configuration.</w:t>
            </w:r>
          </w:p>
        </w:tc>
        <w:tc>
          <w:tcPr>
            <w:tcW w:type="dxa" w:w="3816"/>
            <w:vAlign w:val="center"/>
            <w:tcMar>
              <w:top w:w="95" w:type="dxa"/>
              <w:start w:w="115" w:type="dxa"/>
              <w:bottom w:w="95" w:type="dxa"/>
              <w:end w:w="115" w:type="dxa"/>
            </w:tcMar>
          </w:tcPr>
          <w:p>
            <w:pPr>
              <w:spacing w:after="0" w:line="250" w:lineRule="auto"/>
            </w:pPr>
            <w:r/>
            <w:r>
              <w:rPr>
                <w:rFonts w:ascii="Arial" w:hAnsi="Arial"/>
                <w:b w:val="0"/>
                <w:color w:val="202124"/>
                <w:sz w:val="17"/>
              </w:rPr>
              <w:t>Publish per-source refresh windows and report skipped or failed fetches.</w:t>
            </w:r>
          </w:p>
        </w:tc>
      </w:tr>
      <w:tr>
        <w:trPr>
          <w:cantSplit/>
        </w:trPr>
        <w:tc>
          <w:tcPr>
            <w:tcW w:type="dxa" w:w="1656"/>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Data quality</w:t>
            </w:r>
          </w:p>
        </w:tc>
        <w:tc>
          <w:tcPr>
            <w:tcW w:type="dxa" w:w="4032"/>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URL-level deduplication, clustering, cross-source counts, and an extraction review queue are implemented.</w:t>
            </w:r>
          </w:p>
        </w:tc>
        <w:tc>
          <w:tcPr>
            <w:tcW w:type="dxa" w:w="3816"/>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Track duplicate rate, cluster corrections, missing-source cases, and extraction failures.</w:t>
            </w:r>
          </w:p>
        </w:tc>
      </w:tr>
      <w:tr>
        <w:trPr>
          <w:cantSplit/>
        </w:trPr>
        <w:tc>
          <w:tcPr>
            <w:tcW w:type="dxa" w:w="1656"/>
            <w:vAlign w:val="center"/>
            <w:tcMar>
              <w:top w:w="95" w:type="dxa"/>
              <w:start w:w="115" w:type="dxa"/>
              <w:bottom w:w="95" w:type="dxa"/>
              <w:end w:w="115" w:type="dxa"/>
            </w:tcMar>
          </w:tcPr>
          <w:p>
            <w:pPr>
              <w:spacing w:after="0" w:line="250" w:lineRule="auto"/>
            </w:pPr>
            <w:r/>
            <w:r>
              <w:rPr>
                <w:rFonts w:ascii="Arial" w:hAnsi="Arial"/>
                <w:b w:val="0"/>
                <w:color w:val="202124"/>
                <w:sz w:val="17"/>
              </w:rPr>
              <w:t>API access</w:t>
            </w:r>
          </w:p>
        </w:tc>
        <w:tc>
          <w:tcPr>
            <w:tcW w:type="dxa" w:w="4032"/>
            <w:vAlign w:val="center"/>
            <w:tcMar>
              <w:top w:w="95" w:type="dxa"/>
              <w:start w:w="115" w:type="dxa"/>
              <w:bottom w:w="95" w:type="dxa"/>
              <w:end w:w="115" w:type="dxa"/>
            </w:tcMar>
          </w:tcPr>
          <w:p>
            <w:pPr>
              <w:spacing w:after="0" w:line="250" w:lineRule="auto"/>
            </w:pPr>
            <w:r/>
            <w:r>
              <w:rPr>
                <w:rFonts w:ascii="Arial" w:hAnsi="Arial"/>
                <w:b w:val="0"/>
                <w:color w:val="202124"/>
                <w:sz w:val="17"/>
              </w:rPr>
              <w:t>FastAPI endpoints include story selection and an authenticated mark-posted action.</w:t>
            </w:r>
          </w:p>
        </w:tc>
        <w:tc>
          <w:tcPr>
            <w:tcW w:type="dxa" w:w="3816"/>
            <w:vAlign w:val="center"/>
            <w:tcMar>
              <w:top w:w="95" w:type="dxa"/>
              <w:start w:w="115" w:type="dxa"/>
              <w:bottom w:w="95" w:type="dxa"/>
              <w:end w:w="115" w:type="dxa"/>
            </w:tcMar>
          </w:tcPr>
          <w:p>
            <w:pPr>
              <w:spacing w:after="0" w:line="250" w:lineRule="auto"/>
            </w:pPr>
            <w:r/>
            <w:r>
              <w:rPr>
                <w:rFonts w:ascii="Arial" w:hAnsi="Arial"/>
                <w:b w:val="0"/>
                <w:color w:val="202124"/>
                <w:sz w:val="17"/>
              </w:rPr>
              <w:t>Set availability, response-time, authentication, and incident targets after deployment monitoring exists.</w:t>
            </w:r>
          </w:p>
        </w:tc>
      </w:tr>
      <w:tr>
        <w:trPr>
          <w:cantSplit/>
        </w:trPr>
        <w:tc>
          <w:tcPr>
            <w:tcW w:type="dxa" w:w="1656"/>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Editorial safety</w:t>
            </w:r>
          </w:p>
        </w:tc>
        <w:tc>
          <w:tcPr>
            <w:tcW w:type="dxa" w:w="4032"/>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The video pipeline has script/editor checks and a human approval flow before publication.</w:t>
            </w:r>
          </w:p>
        </w:tc>
        <w:tc>
          <w:tcPr>
            <w:tcW w:type="dxa" w:w="3816"/>
            <w:shd w:fill="F5F7F7"/>
            <w:vAlign w:val="center"/>
            <w:tcMar>
              <w:top w:w="95" w:type="dxa"/>
              <w:start w:w="115" w:type="dxa"/>
              <w:bottom w:w="95" w:type="dxa"/>
              <w:end w:w="115" w:type="dxa"/>
            </w:tcMar>
          </w:tcPr>
          <w:p>
            <w:pPr>
              <w:spacing w:after="0" w:line="250" w:lineRule="auto"/>
            </w:pPr>
            <w:r/>
            <w:r>
              <w:rPr>
                <w:rFonts w:ascii="Arial" w:hAnsi="Arial"/>
                <w:b w:val="0"/>
                <w:color w:val="202124"/>
                <w:sz w:val="17"/>
              </w:rPr>
              <w:t>Define who reviews, approves, rejects, and corrects generated media.</w:t>
            </w:r>
          </w:p>
        </w:tc>
      </w:tr>
      <w:tr>
        <w:trPr>
          <w:cantSplit/>
        </w:trPr>
        <w:tc>
          <w:tcPr>
            <w:tcW w:type="dxa" w:w="1656"/>
            <w:vAlign w:val="center"/>
            <w:tcMar>
              <w:top w:w="95" w:type="dxa"/>
              <w:start w:w="115" w:type="dxa"/>
              <w:bottom w:w="95" w:type="dxa"/>
              <w:end w:w="115" w:type="dxa"/>
            </w:tcMar>
          </w:tcPr>
          <w:p>
            <w:pPr>
              <w:spacing w:after="0" w:line="250" w:lineRule="auto"/>
            </w:pPr>
            <w:r/>
            <w:r>
              <w:rPr>
                <w:rFonts w:ascii="Arial" w:hAnsi="Arial"/>
                <w:b w:val="0"/>
                <w:color w:val="202124"/>
                <w:sz w:val="17"/>
              </w:rPr>
              <w:t>Support and recovery</w:t>
            </w:r>
          </w:p>
        </w:tc>
        <w:tc>
          <w:tcPr>
            <w:tcW w:type="dxa" w:w="4032"/>
            <w:vAlign w:val="center"/>
            <w:tcMar>
              <w:top w:w="95" w:type="dxa"/>
              <w:start w:w="115" w:type="dxa"/>
              <w:bottom w:w="95" w:type="dxa"/>
              <w:end w:w="115" w:type="dxa"/>
            </w:tcMar>
          </w:tcPr>
          <w:p>
            <w:pPr>
              <w:spacing w:after="0" w:line="250" w:lineRule="auto"/>
            </w:pPr>
            <w:r/>
            <w:r>
              <w:rPr>
                <w:rFonts w:ascii="Arial" w:hAnsi="Arial"/>
                <w:b w:val="0"/>
                <w:color w:val="202124"/>
                <w:sz w:val="17"/>
              </w:rPr>
              <w:t>Deployment configuration and pipeline alerts are present in repository materials.</w:t>
            </w:r>
          </w:p>
        </w:tc>
        <w:tc>
          <w:tcPr>
            <w:tcW w:type="dxa" w:w="3816"/>
            <w:vAlign w:val="center"/>
            <w:tcMar>
              <w:top w:w="95" w:type="dxa"/>
              <w:start w:w="115" w:type="dxa"/>
              <w:bottom w:w="95" w:type="dxa"/>
              <w:end w:w="115" w:type="dxa"/>
            </w:tcMar>
          </w:tcPr>
          <w:p>
            <w:pPr>
              <w:spacing w:after="0" w:line="250" w:lineRule="auto"/>
            </w:pPr>
            <w:r/>
            <w:r>
              <w:rPr>
                <w:rFonts w:ascii="Arial" w:hAnsi="Arial"/>
                <w:b w:val="0"/>
                <w:color w:val="202124"/>
                <w:sz w:val="17"/>
              </w:rPr>
              <w:t>Name an owner, support hours, escalation route, backup and recovery objectives.</w:t>
            </w:r>
          </w:p>
        </w:tc>
      </w:tr>
    </w:tbl>
    <w:p>
      <w:pPr>
        <w:widowControl/>
        <w:spacing w:after="40" w:before="0" w:line="40" w:lineRule="exact"/>
      </w:pPr>
    </w:p>
    <w:p>
      <w:pPr>
        <w:widowControl/>
      </w:pPr>
      <w:r>
        <w:rPr>
          <w:i w:val="0"/>
        </w:rPr>
        <w:t>Acceptance checks for the next release</w:t>
      </w:r>
    </w:p>
    <w:p>
      <w:pPr>
        <w:pStyle w:val="ListBullet"/>
        <w:widowControl/>
        <w:spacing w:after="60"/>
        <w:ind w:left="317" w:hanging="216"/>
      </w:pPr>
      <w:r>
        <w:t>A reader can open each listed source from a story page.</w:t>
      </w:r>
    </w:p>
    <w:p>
      <w:pPr>
        <w:pStyle w:val="ListBullet"/>
        <w:widowControl/>
        <w:spacing w:after="60"/>
        <w:ind w:left="317" w:hanging="216"/>
      </w:pPr>
      <w:r>
        <w:t>The story view distinguishes corroborated details from disputed or low-confidence claims.</w:t>
      </w:r>
    </w:p>
    <w:p>
      <w:pPr>
        <w:pStyle w:val="ListBullet"/>
        <w:widowControl/>
        <w:spacing w:after="60"/>
        <w:ind w:left="317" w:hanging="216"/>
      </w:pPr>
      <w:r>
        <w:t>A failed source fetch is logged and does not silently appear as complete coverage.</w:t>
      </w:r>
    </w:p>
    <w:p>
      <w:pPr>
        <w:pStyle w:val="ListBullet"/>
        <w:widowControl/>
        <w:spacing w:after="60"/>
        <w:ind w:left="317" w:hanging="216"/>
      </w:pPr>
      <w:r>
        <w:t>A generated video cannot enter the publication queue until approval is recorded.</w:t>
      </w:r>
    </w:p>
    <w:p>
      <w:pPr>
        <w:pStyle w:val="ListBullet"/>
        <w:widowControl/>
        <w:spacing w:after="60"/>
        <w:ind w:left="317" w:hanging="216"/>
      </w:pPr>
      <w:r>
        <w:t>A demo or sample story is visibly identified as such.</w:t>
      </w:r>
    </w:p>
    <w:p>
      <w:pPr>
        <w:widowControl/>
        <w:spacing w:before="80" w:after="100"/>
      </w:pPr>
      <w:r>
        <w:rPr>
          <w:i/>
          <w:color w:val="565B60"/>
          <w:sz w:val="17"/>
        </w:rPr>
        <w:t>No contractual uptime, support-hour, or recovery guarantee is inferred here. Those values require a production owner and operational measurements.</w:t>
      </w:r>
    </w:p>
    <w:p>
      <w:pPr>
        <w:widowControl/>
        <w:spacing w:before="0" w:after="0"/>
      </w:pPr>
    </w:p>
    <w:p>
      <w:pPr>
        <w:keepNext/>
        <w:widowControl/>
        <w:spacing w:before="260" w:after="80"/>
      </w:pPr>
      <w:r>
        <w:rPr>
          <w:rFonts w:ascii="Arial" w:hAnsi="Arial"/>
          <w:b/>
          <w:color w:val="2A8584"/>
          <w:sz w:val="16"/>
        </w:rPr>
        <w:t>09  /  FEATURES</w:t>
      </w:r>
    </w:p>
    <w:p>
      <w:pPr>
        <w:pStyle w:val="Heading1"/>
        <w:widowControl/>
      </w:pPr>
      <w:r>
        <w:t>Feature and Implementation Snapshot</w:t>
      </w:r>
    </w:p>
    <w:p>
      <w:pPr>
        <w:keepNext/>
        <w:widowControl/>
        <w:spacing w:after="160"/>
      </w:pPr>
      <w:r>
        <w:rPr>
          <w:color w:val="565B60"/>
          <w:sz w:val="21"/>
        </w:rPr>
        <w:t>The presentation describes a broad autonomous news outlet. The repository shows a narrower set of implemented components and prototypes.</w:t>
      </w:r>
    </w:p>
    <w:tbl>
      <w:tblPr>
        <w:tblW w:type="auto" w:w="0"/>
        <w:jc w:val="center"/>
        <w:tblLayout w:type="fixed"/>
        <w:tblLook w:firstColumn="1" w:firstRow="1" w:lastColumn="0" w:lastRow="0" w:noHBand="0" w:noVBand="1" w:val="04A0"/>
        <w:tblBorders>
          <w:top w:val="single" w:sz="5" w:color="CDD3D3"/>
          <w:left w:val="single" w:sz="5" w:color="CDD3D3"/>
          <w:bottom w:val="single" w:sz="5" w:color="CDD3D3"/>
          <w:right w:val="single" w:sz="5" w:color="CDD3D3"/>
          <w:insideH w:val="single" w:sz="5" w:color="CDD3D3"/>
          <w:insideV w:val="single" w:sz="5" w:color="CDD3D3"/>
        </w:tblBorders>
      </w:tblPr>
      <w:tblGrid>
        <w:gridCol w:w="1800"/>
        <w:gridCol w:w="3600"/>
        <w:gridCol w:w="4104"/>
      </w:tblGrid>
      <w:tr>
        <w:trPr>
          <w:cantSplit/>
          <w:tblHeader w:val="true"/>
        </w:trPr>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6"/>
              </w:rPr>
              <w:t>Capability</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6"/>
              </w:rPr>
              <w:t>Presentation description</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6"/>
              </w:rPr>
              <w:t>Repository snapshot</w:t>
            </w:r>
          </w:p>
        </w:tc>
      </w:tr>
      <w:tr>
        <w:trPr>
          <w:cantSplit/>
        </w:trPr>
        <w:tc>
          <w:tcPr>
            <w:tcW w:type="dxa" w:w="1800"/>
            <w:vAlign w:val="center"/>
            <w:tcMar>
              <w:top w:w="95" w:type="dxa"/>
              <w:start w:w="115" w:type="dxa"/>
              <w:bottom w:w="95" w:type="dxa"/>
              <w:end w:w="115" w:type="dxa"/>
            </w:tcMar>
          </w:tcPr>
          <w:p>
            <w:pPr>
              <w:spacing w:after="0" w:line="250" w:lineRule="auto"/>
            </w:pPr>
            <w:r/>
            <w:r>
              <w:rPr>
                <w:rFonts w:ascii="Arial" w:hAnsi="Arial"/>
                <w:b w:val="0"/>
                <w:color w:val="202124"/>
                <w:sz w:val="16"/>
              </w:rPr>
              <w:t>Multi-source reporting</w:t>
            </w:r>
          </w:p>
        </w:tc>
        <w:tc>
          <w:tcPr>
            <w:tcW w:type="dxa" w:w="3600"/>
            <w:vAlign w:val="center"/>
            <w:tcMar>
              <w:top w:w="95" w:type="dxa"/>
              <w:start w:w="115" w:type="dxa"/>
              <w:bottom w:w="95" w:type="dxa"/>
              <w:end w:w="115" w:type="dxa"/>
            </w:tcMar>
          </w:tcPr>
          <w:p>
            <w:pPr>
              <w:spacing w:after="0" w:line="250" w:lineRule="auto"/>
            </w:pPr>
            <w:r/>
            <w:r>
              <w:rPr>
                <w:rFonts w:ascii="Arial" w:hAnsi="Arial"/>
                <w:b w:val="0"/>
                <w:color w:val="202124"/>
                <w:sz w:val="16"/>
              </w:rPr>
              <w:t>Aggregate sources and provide a neutral, complete picture.</w:t>
            </w:r>
          </w:p>
        </w:tc>
        <w:tc>
          <w:tcPr>
            <w:tcW w:type="dxa" w:w="4104"/>
            <w:vAlign w:val="center"/>
            <w:tcMar>
              <w:top w:w="95" w:type="dxa"/>
              <w:start w:w="115" w:type="dxa"/>
              <w:bottom w:w="95" w:type="dxa"/>
              <w:end w:w="115" w:type="dxa"/>
            </w:tcMar>
          </w:tcPr>
          <w:p>
            <w:pPr>
              <w:spacing w:after="0" w:line="250" w:lineRule="auto"/>
            </w:pPr>
            <w:r/>
            <w:r>
              <w:rPr>
                <w:rFonts w:ascii="Arial" w:hAnsi="Arial"/>
                <w:b w:val="0"/>
                <w:color w:val="202124"/>
                <w:sz w:val="16"/>
              </w:rPr>
              <w:t>Ingestion adapters, registry, deduplication, clustering, storage, and a story API are present.</w:t>
            </w:r>
          </w:p>
        </w:tc>
      </w:tr>
      <w:tr>
        <w:trPr>
          <w:cantSplit/>
        </w:trPr>
        <w:tc>
          <w:tcPr>
            <w:tcW w:type="dxa" w:w="1800"/>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AI research and fact checking</w:t>
            </w:r>
          </w:p>
        </w:tc>
        <w:tc>
          <w:tcPr>
            <w:tcW w:type="dxa" w:w="3600"/>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Specialized agents gather facts, compare claims, write, and edit.</w:t>
            </w:r>
          </w:p>
        </w:tc>
        <w:tc>
          <w:tcPr>
            <w:tcW w:type="dxa" w:w="4104"/>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No general multi-agent news-article authoring service was found in the reviewed project paths. The video pipeline does contain script and editorial model stages.</w:t>
            </w:r>
          </w:p>
        </w:tc>
      </w:tr>
      <w:tr>
        <w:trPr>
          <w:cantSplit/>
        </w:trPr>
        <w:tc>
          <w:tcPr>
            <w:tcW w:type="dxa" w:w="1800"/>
            <w:vAlign w:val="center"/>
            <w:tcMar>
              <w:top w:w="95" w:type="dxa"/>
              <w:start w:w="115" w:type="dxa"/>
              <w:bottom w:w="95" w:type="dxa"/>
              <w:end w:w="115" w:type="dxa"/>
            </w:tcMar>
          </w:tcPr>
          <w:p>
            <w:pPr>
              <w:spacing w:after="0" w:line="250" w:lineRule="auto"/>
            </w:pPr>
            <w:r/>
            <w:r>
              <w:rPr>
                <w:rFonts w:ascii="Arial" w:hAnsi="Arial"/>
                <w:b w:val="0"/>
                <w:color w:val="202124"/>
                <w:sz w:val="16"/>
              </w:rPr>
              <w:t>Web product</w:t>
            </w:r>
          </w:p>
        </w:tc>
        <w:tc>
          <w:tcPr>
            <w:tcW w:type="dxa" w:w="3600"/>
            <w:vAlign w:val="center"/>
            <w:tcMar>
              <w:top w:w="95" w:type="dxa"/>
              <w:start w:w="115" w:type="dxa"/>
              <w:bottom w:w="95" w:type="dxa"/>
              <w:end w:w="115" w:type="dxa"/>
            </w:tcMar>
          </w:tcPr>
          <w:p>
            <w:pPr>
              <w:spacing w:after="0" w:line="250" w:lineRule="auto"/>
            </w:pPr>
            <w:r/>
            <w:r>
              <w:rPr>
                <w:rFonts w:ascii="Arial" w:hAnsi="Arial"/>
                <w:b w:val="0"/>
                <w:color w:val="202124"/>
                <w:sz w:val="16"/>
              </w:rPr>
              <w:t>News website with source accreditation and reader features.</w:t>
            </w:r>
          </w:p>
        </w:tc>
        <w:tc>
          <w:tcPr>
            <w:tcW w:type="dxa" w:w="4104"/>
            <w:vAlign w:val="center"/>
            <w:tcMar>
              <w:top w:w="95" w:type="dxa"/>
              <w:start w:w="115" w:type="dxa"/>
              <w:bottom w:w="95" w:type="dxa"/>
              <w:end w:w="115" w:type="dxa"/>
            </w:tcMar>
          </w:tcPr>
          <w:p>
            <w:pPr>
              <w:spacing w:after="0" w:line="250" w:lineRule="auto"/>
            </w:pPr>
            <w:r/>
            <w:r>
              <w:rPr>
                <w:rFonts w:ascii="Arial" w:hAnsi="Arial"/>
                <w:b w:val="0"/>
                <w:color w:val="202124"/>
                <w:sz w:val="16"/>
              </w:rPr>
              <w:t>React front end is present; current story content is statically bundled demo data, not demonstrably live API output.</w:t>
            </w:r>
          </w:p>
        </w:tc>
      </w:tr>
      <w:tr>
        <w:trPr>
          <w:cantSplit/>
        </w:trPr>
        <w:tc>
          <w:tcPr>
            <w:tcW w:type="dxa" w:w="1800"/>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Newsletters and podcasts</w:t>
            </w:r>
          </w:p>
        </w:tc>
        <w:tc>
          <w:tcPr>
            <w:tcW w:type="dxa" w:w="3600"/>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Personalized emails, podcasts, and automated reels.</w:t>
            </w:r>
          </w:p>
        </w:tc>
        <w:tc>
          <w:tcPr>
            <w:tcW w:type="dxa" w:w="4104"/>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Newsletter and podcast pages/components exist; UI includes mock audio language. Video pipeline code is present. Automated email/podcast delivery was not established by this review.</w:t>
            </w:r>
          </w:p>
        </w:tc>
      </w:tr>
      <w:tr>
        <w:trPr>
          <w:cantSplit/>
        </w:trPr>
        <w:tc>
          <w:tcPr>
            <w:tcW w:type="dxa" w:w="1800"/>
            <w:vAlign w:val="center"/>
            <w:tcMar>
              <w:top w:w="95" w:type="dxa"/>
              <w:start w:w="115" w:type="dxa"/>
              <w:bottom w:w="95" w:type="dxa"/>
              <w:end w:w="115" w:type="dxa"/>
            </w:tcMar>
          </w:tcPr>
          <w:p>
            <w:pPr>
              <w:spacing w:after="0" w:line="250" w:lineRule="auto"/>
            </w:pPr>
            <w:r/>
            <w:r>
              <w:rPr>
                <w:rFonts w:ascii="Arial" w:hAnsi="Arial"/>
                <w:b w:val="0"/>
                <w:color w:val="202124"/>
                <w:sz w:val="16"/>
              </w:rPr>
              <w:t>Mobile apps and social publishing</w:t>
            </w:r>
          </w:p>
        </w:tc>
        <w:tc>
          <w:tcPr>
            <w:tcW w:type="dxa" w:w="3600"/>
            <w:vAlign w:val="center"/>
            <w:tcMar>
              <w:top w:w="95" w:type="dxa"/>
              <w:start w:w="115" w:type="dxa"/>
              <w:bottom w:w="95" w:type="dxa"/>
              <w:end w:w="115" w:type="dxa"/>
            </w:tcMar>
          </w:tcPr>
          <w:p>
            <w:pPr>
              <w:spacing w:after="0" w:line="250" w:lineRule="auto"/>
            </w:pPr>
            <w:r/>
            <w:r>
              <w:rPr>
                <w:rFonts w:ascii="Arial" w:hAnsi="Arial"/>
                <w:b w:val="0"/>
                <w:color w:val="202124"/>
                <w:sz w:val="16"/>
              </w:rPr>
              <w:t>Flutter Android, native Swift iOS, and social channels.</w:t>
            </w:r>
          </w:p>
        </w:tc>
        <w:tc>
          <w:tcPr>
            <w:tcW w:type="dxa" w:w="4104"/>
            <w:vAlign w:val="center"/>
            <w:tcMar>
              <w:top w:w="95" w:type="dxa"/>
              <w:start w:w="115" w:type="dxa"/>
              <w:bottom w:w="95" w:type="dxa"/>
              <w:end w:w="115" w:type="dxa"/>
            </w:tcMar>
          </w:tcPr>
          <w:p>
            <w:pPr>
              <w:spacing w:after="0" w:line="250" w:lineRule="auto"/>
            </w:pPr>
            <w:r/>
            <w:r>
              <w:rPr>
                <w:rFonts w:ascii="Arial" w:hAnsi="Arial"/>
                <w:b w:val="0"/>
                <w:color w:val="202124"/>
                <w:sz w:val="16"/>
              </w:rPr>
              <w:t>Those mobile application codebases were not found in the reviewed repository. Video publishing is approval-gated in the separate pipeline.</w:t>
            </w:r>
          </w:p>
        </w:tc>
      </w:tr>
      <w:tr>
        <w:trPr>
          <w:cantSplit/>
        </w:trPr>
        <w:tc>
          <w:tcPr>
            <w:tcW w:type="dxa" w:w="1800"/>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Scale claim</w:t>
            </w:r>
          </w:p>
        </w:tc>
        <w:tc>
          <w:tcPr>
            <w:tcW w:type="dxa" w:w="3600"/>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Presentation states the database has more than 10,000 corroborated stories.</w:t>
            </w:r>
          </w:p>
        </w:tc>
        <w:tc>
          <w:tcPr>
            <w:tcW w:type="dxa" w:w="4104"/>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A live database count is not verifiable from source code alone; treat this as a presentation-reported snapshot.</w:t>
            </w:r>
          </w:p>
        </w:tc>
      </w:tr>
    </w:tbl>
    <w:p>
      <w:pPr>
        <w:widowControl/>
        <w:spacing w:after="40" w:before="0" w:line="40" w:lineRule="exact"/>
      </w:pPr>
    </w:p>
    <w:p>
      <w:pPr>
        <w:widowControl/>
        <w:spacing w:before="0" w:after="0"/>
      </w:pPr>
    </w:p>
    <w:p>
      <w:pPr>
        <w:keepNext/>
        <w:widowControl/>
        <w:spacing w:before="260" w:after="80"/>
      </w:pPr>
      <w:r>
        <w:rPr>
          <w:rFonts w:ascii="Arial" w:hAnsi="Arial"/>
          <w:b/>
          <w:color w:val="2A8584"/>
          <w:sz w:val="16"/>
        </w:rPr>
        <w:t>10  /  DECISION MATRIX</w:t>
      </w:r>
    </w:p>
    <w:p>
      <w:pPr>
        <w:pStyle w:val="Heading1"/>
        <w:widowControl/>
      </w:pPr>
      <w:r>
        <w:t>Prioritization Criteria</w:t>
      </w:r>
    </w:p>
    <w:p>
      <w:pPr>
        <w:keepNext/>
        <w:widowControl/>
        <w:spacing w:after="160"/>
      </w:pPr>
      <w:r>
        <w:rPr>
          <w:color w:val="565B60"/>
          <w:sz w:val="21"/>
        </w:rPr>
        <w:t>Use a small, transparent scoring model to sequence product work. Scores below are planning judgments, not user-study results.</w:t>
      </w:r>
    </w:p>
    <w:tbl>
      <w:tblPr>
        <w:tblW w:type="auto" w:w="0"/>
        <w:jc w:val="center"/>
        <w:tblLayout w:type="fixed"/>
        <w:tblLook w:firstColumn="1" w:firstRow="1" w:lastColumn="0" w:lastRow="0" w:noHBand="0" w:noVBand="1" w:val="04A0"/>
        <w:tblBorders>
          <w:top w:val="single" w:sz="5" w:color="CDD3D3"/>
          <w:left w:val="single" w:sz="5" w:color="CDD3D3"/>
          <w:bottom w:val="single" w:sz="5" w:color="CDD3D3"/>
          <w:right w:val="single" w:sz="5" w:color="CDD3D3"/>
          <w:insideH w:val="single" w:sz="5" w:color="CDD3D3"/>
          <w:insideV w:val="single" w:sz="5" w:color="CDD3D3"/>
        </w:tblBorders>
      </w:tblPr>
      <w:tblGrid>
        <w:gridCol w:w="1944"/>
        <w:gridCol w:w="6264"/>
        <w:gridCol w:w="1296"/>
      </w:tblGrid>
      <w:tr>
        <w:trPr>
          <w:cantSplit/>
          <w:tblHeader w:val="true"/>
        </w:trPr>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8"/>
              </w:rPr>
              <w:t>Criterion</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8"/>
              </w:rPr>
              <w:t>Meaning</w:t>
            </w:r>
          </w:p>
        </w:tc>
        <w:tc>
          <w:tcPr>
            <w:tcW w:type="dxa" w:w="3331"/>
            <w:shd w:fill="315C66"/>
            <w:vAlign w:val="center"/>
            <w:tcMar>
              <w:top w:w="95" w:type="dxa"/>
              <w:start w:w="115" w:type="dxa"/>
              <w:bottom w:w="95" w:type="dxa"/>
              <w:end w:w="115" w:type="dxa"/>
            </w:tcMar>
          </w:tcPr>
          <w:p>
            <w:pPr>
              <w:spacing w:after="0" w:line="250" w:lineRule="auto"/>
            </w:pPr>
            <w:r/>
            <w:r>
              <w:rPr>
                <w:rFonts w:ascii="Arial" w:hAnsi="Arial"/>
                <w:b/>
                <w:color w:val="FFFFFF"/>
                <w:sz w:val="18"/>
              </w:rPr>
              <w:t>Weight</w:t>
            </w:r>
          </w:p>
        </w:tc>
      </w:tr>
      <w:tr>
        <w:trPr>
          <w:cantSplit/>
        </w:trPr>
        <w:tc>
          <w:tcPr>
            <w:tcW w:type="dxa" w:w="1944"/>
            <w:vAlign w:val="center"/>
            <w:tcMar>
              <w:top w:w="95" w:type="dxa"/>
              <w:start w:w="115" w:type="dxa"/>
              <w:bottom w:w="95" w:type="dxa"/>
              <w:end w:w="115" w:type="dxa"/>
            </w:tcMar>
          </w:tcPr>
          <w:p>
            <w:pPr>
              <w:spacing w:after="0" w:line="250" w:lineRule="auto"/>
            </w:pPr>
            <w:r/>
            <w:r>
              <w:rPr>
                <w:rFonts w:ascii="Arial" w:hAnsi="Arial"/>
                <w:b w:val="0"/>
                <w:color w:val="202124"/>
                <w:sz w:val="18"/>
              </w:rPr>
              <w:t>Reader impact</w:t>
            </w:r>
          </w:p>
        </w:tc>
        <w:tc>
          <w:tcPr>
            <w:tcW w:type="dxa" w:w="6264"/>
            <w:vAlign w:val="center"/>
            <w:tcMar>
              <w:top w:w="95" w:type="dxa"/>
              <w:start w:w="115" w:type="dxa"/>
              <w:bottom w:w="95" w:type="dxa"/>
              <w:end w:w="115" w:type="dxa"/>
            </w:tcMar>
          </w:tcPr>
          <w:p>
            <w:pPr>
              <w:spacing w:after="0" w:line="250" w:lineRule="auto"/>
            </w:pPr>
            <w:r/>
            <w:r>
              <w:rPr>
                <w:rFonts w:ascii="Arial" w:hAnsi="Arial"/>
                <w:b w:val="0"/>
                <w:color w:val="202124"/>
                <w:sz w:val="18"/>
              </w:rPr>
              <w:t>Does it materially improve understanding or access?</w:t>
            </w:r>
          </w:p>
        </w:tc>
        <w:tc>
          <w:tcPr>
            <w:tcW w:type="dxa" w:w="1296"/>
            <w:vAlign w:val="center"/>
            <w:tcMar>
              <w:top w:w="95" w:type="dxa"/>
              <w:start w:w="115" w:type="dxa"/>
              <w:bottom w:w="95" w:type="dxa"/>
              <w:end w:w="115" w:type="dxa"/>
            </w:tcMar>
          </w:tcPr>
          <w:p>
            <w:pPr>
              <w:spacing w:after="0" w:line="250" w:lineRule="auto"/>
            </w:pPr>
            <w:r/>
            <w:r>
              <w:rPr>
                <w:rFonts w:ascii="Arial" w:hAnsi="Arial"/>
                <w:b w:val="0"/>
                <w:color w:val="202124"/>
                <w:sz w:val="18"/>
              </w:rPr>
              <w:t>30%</w:t>
            </w:r>
          </w:p>
        </w:tc>
      </w:tr>
      <w:tr>
        <w:trPr>
          <w:cantSplit/>
        </w:trPr>
        <w:tc>
          <w:tcPr>
            <w:tcW w:type="dxa" w:w="1944"/>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Trust and evidence</w:t>
            </w:r>
          </w:p>
        </w:tc>
        <w:tc>
          <w:tcPr>
            <w:tcW w:type="dxa" w:w="6264"/>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Does it strengthen provenance, claim clarity, or uncertainty handling?</w:t>
            </w:r>
          </w:p>
        </w:tc>
        <w:tc>
          <w:tcPr>
            <w:tcW w:type="dxa" w:w="1296"/>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30%</w:t>
            </w:r>
          </w:p>
        </w:tc>
      </w:tr>
      <w:tr>
        <w:trPr>
          <w:cantSplit/>
        </w:trPr>
        <w:tc>
          <w:tcPr>
            <w:tcW w:type="dxa" w:w="1944"/>
            <w:vAlign w:val="center"/>
            <w:tcMar>
              <w:top w:w="95" w:type="dxa"/>
              <w:start w:w="115" w:type="dxa"/>
              <w:bottom w:w="95" w:type="dxa"/>
              <w:end w:w="115" w:type="dxa"/>
            </w:tcMar>
          </w:tcPr>
          <w:p>
            <w:pPr>
              <w:spacing w:after="0" w:line="250" w:lineRule="auto"/>
            </w:pPr>
            <w:r/>
            <w:r>
              <w:rPr>
                <w:rFonts w:ascii="Arial" w:hAnsi="Arial"/>
                <w:b w:val="0"/>
                <w:color w:val="202124"/>
                <w:sz w:val="18"/>
              </w:rPr>
              <w:t>Feasibility</w:t>
            </w:r>
          </w:p>
        </w:tc>
        <w:tc>
          <w:tcPr>
            <w:tcW w:type="dxa" w:w="6264"/>
            <w:vAlign w:val="center"/>
            <w:tcMar>
              <w:top w:w="95" w:type="dxa"/>
              <w:start w:w="115" w:type="dxa"/>
              <w:bottom w:w="95" w:type="dxa"/>
              <w:end w:w="115" w:type="dxa"/>
            </w:tcMar>
          </w:tcPr>
          <w:p>
            <w:pPr>
              <w:spacing w:after="0" w:line="250" w:lineRule="auto"/>
            </w:pPr>
            <w:r/>
            <w:r>
              <w:rPr>
                <w:rFonts w:ascii="Arial" w:hAnsi="Arial"/>
                <w:b w:val="0"/>
                <w:color w:val="202124"/>
                <w:sz w:val="18"/>
              </w:rPr>
              <w:t>Can the current team deliver and maintain it?</w:t>
            </w:r>
          </w:p>
        </w:tc>
        <w:tc>
          <w:tcPr>
            <w:tcW w:type="dxa" w:w="1296"/>
            <w:vAlign w:val="center"/>
            <w:tcMar>
              <w:top w:w="95" w:type="dxa"/>
              <w:start w:w="115" w:type="dxa"/>
              <w:bottom w:w="95" w:type="dxa"/>
              <w:end w:w="115" w:type="dxa"/>
            </w:tcMar>
          </w:tcPr>
          <w:p>
            <w:pPr>
              <w:spacing w:after="0" w:line="250" w:lineRule="auto"/>
            </w:pPr>
            <w:r/>
            <w:r>
              <w:rPr>
                <w:rFonts w:ascii="Arial" w:hAnsi="Arial"/>
                <w:b w:val="0"/>
                <w:color w:val="202124"/>
                <w:sz w:val="18"/>
              </w:rPr>
              <w:t>20%</w:t>
            </w:r>
          </w:p>
        </w:tc>
      </w:tr>
      <w:tr>
        <w:trPr>
          <w:cantSplit/>
        </w:trPr>
        <w:tc>
          <w:tcPr>
            <w:tcW w:type="dxa" w:w="1944"/>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Reach</w:t>
            </w:r>
          </w:p>
        </w:tc>
        <w:tc>
          <w:tcPr>
            <w:tcW w:type="dxa" w:w="6264"/>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Does it improve access across common reading contexts?</w:t>
            </w:r>
          </w:p>
        </w:tc>
        <w:tc>
          <w:tcPr>
            <w:tcW w:type="dxa" w:w="1296"/>
            <w:shd w:fill="F5F7F7"/>
            <w:vAlign w:val="center"/>
            <w:tcMar>
              <w:top w:w="95" w:type="dxa"/>
              <w:start w:w="115" w:type="dxa"/>
              <w:bottom w:w="95" w:type="dxa"/>
              <w:end w:w="115" w:type="dxa"/>
            </w:tcMar>
          </w:tcPr>
          <w:p>
            <w:pPr>
              <w:spacing w:after="0" w:line="250" w:lineRule="auto"/>
            </w:pPr>
            <w:r/>
            <w:r>
              <w:rPr>
                <w:rFonts w:ascii="Arial" w:hAnsi="Arial"/>
                <w:b w:val="0"/>
                <w:color w:val="202124"/>
                <w:sz w:val="18"/>
              </w:rPr>
              <w:t>10%</w:t>
            </w:r>
          </w:p>
        </w:tc>
      </w:tr>
      <w:tr>
        <w:trPr>
          <w:cantSplit/>
        </w:trPr>
        <w:tc>
          <w:tcPr>
            <w:tcW w:type="dxa" w:w="1944"/>
            <w:vAlign w:val="center"/>
            <w:tcMar>
              <w:top w:w="95" w:type="dxa"/>
              <w:start w:w="115" w:type="dxa"/>
              <w:bottom w:w="95" w:type="dxa"/>
              <w:end w:w="115" w:type="dxa"/>
            </w:tcMar>
          </w:tcPr>
          <w:p>
            <w:pPr>
              <w:spacing w:after="0" w:line="250" w:lineRule="auto"/>
            </w:pPr>
            <w:r/>
            <w:r>
              <w:rPr>
                <w:rFonts w:ascii="Arial" w:hAnsi="Arial"/>
                <w:b w:val="0"/>
                <w:color w:val="202124"/>
                <w:sz w:val="18"/>
              </w:rPr>
              <w:t>Risk control</w:t>
            </w:r>
          </w:p>
        </w:tc>
        <w:tc>
          <w:tcPr>
            <w:tcW w:type="dxa" w:w="6264"/>
            <w:vAlign w:val="center"/>
            <w:tcMar>
              <w:top w:w="95" w:type="dxa"/>
              <w:start w:w="115" w:type="dxa"/>
              <w:bottom w:w="95" w:type="dxa"/>
              <w:end w:w="115" w:type="dxa"/>
            </w:tcMar>
          </w:tcPr>
          <w:p>
            <w:pPr>
              <w:spacing w:after="0" w:line="250" w:lineRule="auto"/>
            </w:pPr>
            <w:r/>
            <w:r>
              <w:rPr>
                <w:rFonts w:ascii="Arial" w:hAnsi="Arial"/>
                <w:b w:val="0"/>
                <w:color w:val="202124"/>
                <w:sz w:val="18"/>
              </w:rPr>
              <w:t>Can failure or misleading output be detected and corrected?</w:t>
            </w:r>
          </w:p>
        </w:tc>
        <w:tc>
          <w:tcPr>
            <w:tcW w:type="dxa" w:w="1296"/>
            <w:vAlign w:val="center"/>
            <w:tcMar>
              <w:top w:w="95" w:type="dxa"/>
              <w:start w:w="115" w:type="dxa"/>
              <w:bottom w:w="95" w:type="dxa"/>
              <w:end w:w="115" w:type="dxa"/>
            </w:tcMar>
          </w:tcPr>
          <w:p>
            <w:pPr>
              <w:spacing w:after="0" w:line="250" w:lineRule="auto"/>
            </w:pPr>
            <w:r/>
            <w:r>
              <w:rPr>
                <w:rFonts w:ascii="Arial" w:hAnsi="Arial"/>
                <w:b w:val="0"/>
                <w:color w:val="202124"/>
                <w:sz w:val="18"/>
              </w:rPr>
              <w:t>10%</w:t>
            </w:r>
          </w:p>
        </w:tc>
      </w:tr>
    </w:tbl>
    <w:p>
      <w:pPr>
        <w:widowControl/>
        <w:spacing w:after="40" w:before="0" w:line="40" w:lineRule="exact"/>
      </w:pPr>
    </w:p>
    <w:p>
      <w:pPr>
        <w:widowControl/>
      </w:pPr>
      <w:r>
        <w:rPr>
          <w:i w:val="0"/>
        </w:rPr>
        <w:t>Scoring method</w:t>
      </w:r>
    </w:p>
    <w:p>
      <w:pPr>
        <w:widowControl/>
      </w:pPr>
      <w:r>
        <w:rPr>
          <w:i w:val="0"/>
        </w:rPr>
        <w:t>Rate each candidate from 1 (low) to 5 (high) for each criterion. Multiply by the criterion weight and add the results. Revisit the weights after reader research and technical estimates.</w:t>
      </w:r>
    </w:p>
    <w:p>
      <w:pPr>
        <w:widowControl/>
        <w:spacing w:before="0" w:after="0"/>
      </w:pPr>
    </w:p>
    <w:p>
      <w:pPr>
        <w:keepNext/>
        <w:widowControl/>
        <w:spacing w:before="260" w:after="80"/>
      </w:pPr>
      <w:r>
        <w:rPr>
          <w:rFonts w:ascii="Arial" w:hAnsi="Arial"/>
          <w:b/>
          <w:color w:val="2A8584"/>
          <w:sz w:val="16"/>
        </w:rPr>
        <w:t>11  /  DECISION MATRIX</w:t>
      </w:r>
    </w:p>
    <w:p>
      <w:pPr>
        <w:pStyle w:val="Heading1"/>
        <w:widowControl/>
      </w:pPr>
      <w:r>
        <w:t>Initial Feature Priorities</w:t>
      </w:r>
    </w:p>
    <w:p>
      <w:pPr>
        <w:keepNext/>
        <w:widowControl/>
        <w:spacing w:after="160"/>
      </w:pPr>
      <w:r>
        <w:rPr>
          <w:color w:val="565B60"/>
          <w:sz w:val="21"/>
        </w:rPr>
        <w:t>This first pass favors traceability and reliable story grouping before adding more automated formats.</w:t>
      </w:r>
    </w:p>
    <w:tbl>
      <w:tblPr>
        <w:tblW w:type="auto" w:w="0"/>
        <w:jc w:val="center"/>
        <w:tblLayout w:type="fixed"/>
        <w:tblLook w:firstColumn="1" w:firstRow="1" w:lastColumn="0" w:lastRow="0" w:noHBand="0" w:noVBand="1" w:val="04A0"/>
        <w:tblBorders>
          <w:top w:val="single" w:sz="5" w:color="CDD3D3"/>
          <w:left w:val="single" w:sz="5" w:color="CDD3D3"/>
          <w:bottom w:val="single" w:sz="5" w:color="CDD3D3"/>
          <w:right w:val="single" w:sz="5" w:color="CDD3D3"/>
          <w:insideH w:val="single" w:sz="5" w:color="CDD3D3"/>
          <w:insideV w:val="single" w:sz="5" w:color="CDD3D3"/>
        </w:tblBorders>
      </w:tblPr>
      <w:tblGrid>
        <w:gridCol w:w="3240"/>
        <w:gridCol w:w="792"/>
        <w:gridCol w:w="792"/>
        <w:gridCol w:w="1080"/>
        <w:gridCol w:w="792"/>
        <w:gridCol w:w="1224"/>
        <w:gridCol w:w="1584"/>
      </w:tblGrid>
      <w:tr>
        <w:trPr>
          <w:cantSplit/>
          <w:tblHeader w:val="true"/>
        </w:trPr>
        <w:tc>
          <w:tcPr>
            <w:tcW w:type="dxa" w:w="1428"/>
            <w:shd w:fill="315C66"/>
            <w:vAlign w:val="center"/>
            <w:tcMar>
              <w:top w:w="95" w:type="dxa"/>
              <w:start w:w="115" w:type="dxa"/>
              <w:bottom w:w="95" w:type="dxa"/>
              <w:end w:w="115" w:type="dxa"/>
            </w:tcMar>
          </w:tcPr>
          <w:p>
            <w:pPr>
              <w:spacing w:after="0" w:line="250" w:lineRule="auto"/>
            </w:pPr>
            <w:r/>
            <w:r>
              <w:rPr>
                <w:rFonts w:ascii="Arial" w:hAnsi="Arial"/>
                <w:b/>
                <w:color w:val="FFFFFF"/>
                <w:sz w:val="16"/>
              </w:rPr>
              <w:t>Candidate</w:t>
            </w:r>
          </w:p>
        </w:tc>
        <w:tc>
          <w:tcPr>
            <w:tcW w:type="dxa" w:w="1428"/>
            <w:shd w:fill="315C66"/>
            <w:vAlign w:val="center"/>
            <w:tcMar>
              <w:top w:w="95" w:type="dxa"/>
              <w:start w:w="115" w:type="dxa"/>
              <w:bottom w:w="95" w:type="dxa"/>
              <w:end w:w="115" w:type="dxa"/>
            </w:tcMar>
          </w:tcPr>
          <w:p>
            <w:pPr>
              <w:spacing w:after="0" w:line="250" w:lineRule="auto"/>
            </w:pPr>
            <w:r/>
            <w:r>
              <w:rPr>
                <w:rFonts w:ascii="Arial" w:hAnsi="Arial"/>
                <w:b/>
                <w:color w:val="FFFFFF"/>
                <w:sz w:val="16"/>
              </w:rPr>
              <w:t>Impact</w:t>
            </w:r>
          </w:p>
        </w:tc>
        <w:tc>
          <w:tcPr>
            <w:tcW w:type="dxa" w:w="1428"/>
            <w:shd w:fill="315C66"/>
            <w:vAlign w:val="center"/>
            <w:tcMar>
              <w:top w:w="95" w:type="dxa"/>
              <w:start w:w="115" w:type="dxa"/>
              <w:bottom w:w="95" w:type="dxa"/>
              <w:end w:w="115" w:type="dxa"/>
            </w:tcMar>
          </w:tcPr>
          <w:p>
            <w:pPr>
              <w:spacing w:after="0" w:line="250" w:lineRule="auto"/>
            </w:pPr>
            <w:r/>
            <w:r>
              <w:rPr>
                <w:rFonts w:ascii="Arial" w:hAnsi="Arial"/>
                <w:b/>
                <w:color w:val="FFFFFF"/>
                <w:sz w:val="16"/>
              </w:rPr>
              <w:t>Trust</w:t>
            </w:r>
          </w:p>
        </w:tc>
        <w:tc>
          <w:tcPr>
            <w:tcW w:type="dxa" w:w="1428"/>
            <w:shd w:fill="315C66"/>
            <w:vAlign w:val="center"/>
            <w:tcMar>
              <w:top w:w="95" w:type="dxa"/>
              <w:start w:w="115" w:type="dxa"/>
              <w:bottom w:w="95" w:type="dxa"/>
              <w:end w:w="115" w:type="dxa"/>
            </w:tcMar>
          </w:tcPr>
          <w:p>
            <w:pPr>
              <w:spacing w:after="0" w:line="250" w:lineRule="auto"/>
            </w:pPr>
            <w:r/>
            <w:r>
              <w:rPr>
                <w:rFonts w:ascii="Arial" w:hAnsi="Arial"/>
                <w:b/>
                <w:color w:val="FFFFFF"/>
                <w:sz w:val="16"/>
              </w:rPr>
              <w:t>Feasibility</w:t>
            </w:r>
          </w:p>
        </w:tc>
        <w:tc>
          <w:tcPr>
            <w:tcW w:type="dxa" w:w="1428"/>
            <w:shd w:fill="315C66"/>
            <w:vAlign w:val="center"/>
            <w:tcMar>
              <w:top w:w="95" w:type="dxa"/>
              <w:start w:w="115" w:type="dxa"/>
              <w:bottom w:w="95" w:type="dxa"/>
              <w:end w:w="115" w:type="dxa"/>
            </w:tcMar>
          </w:tcPr>
          <w:p>
            <w:pPr>
              <w:spacing w:after="0" w:line="250" w:lineRule="auto"/>
            </w:pPr>
            <w:r/>
            <w:r>
              <w:rPr>
                <w:rFonts w:ascii="Arial" w:hAnsi="Arial"/>
                <w:b/>
                <w:color w:val="FFFFFF"/>
                <w:sz w:val="16"/>
              </w:rPr>
              <w:t>Reach</w:t>
            </w:r>
          </w:p>
        </w:tc>
        <w:tc>
          <w:tcPr>
            <w:tcW w:type="dxa" w:w="1428"/>
            <w:shd w:fill="315C66"/>
            <w:vAlign w:val="center"/>
            <w:tcMar>
              <w:top w:w="95" w:type="dxa"/>
              <w:start w:w="115" w:type="dxa"/>
              <w:bottom w:w="95" w:type="dxa"/>
              <w:end w:w="115" w:type="dxa"/>
            </w:tcMar>
          </w:tcPr>
          <w:p>
            <w:pPr>
              <w:spacing w:after="0" w:line="250" w:lineRule="auto"/>
            </w:pPr>
            <w:r/>
            <w:r>
              <w:rPr>
                <w:rFonts w:ascii="Arial" w:hAnsi="Arial"/>
                <w:b/>
                <w:color w:val="FFFFFF"/>
                <w:sz w:val="16"/>
              </w:rPr>
              <w:t>Risk control</w:t>
            </w:r>
          </w:p>
        </w:tc>
        <w:tc>
          <w:tcPr>
            <w:tcW w:type="dxa" w:w="1428"/>
            <w:shd w:fill="315C66"/>
            <w:vAlign w:val="center"/>
            <w:tcMar>
              <w:top w:w="95" w:type="dxa"/>
              <w:start w:w="115" w:type="dxa"/>
              <w:bottom w:w="95" w:type="dxa"/>
              <w:end w:w="115" w:type="dxa"/>
            </w:tcMar>
          </w:tcPr>
          <w:p>
            <w:pPr>
              <w:spacing w:after="0" w:line="250" w:lineRule="auto"/>
            </w:pPr>
            <w:r/>
            <w:r>
              <w:rPr>
                <w:rFonts w:ascii="Arial" w:hAnsi="Arial"/>
                <w:b/>
                <w:color w:val="FFFFFF"/>
                <w:sz w:val="16"/>
              </w:rPr>
              <w:t>Weighted / 5</w:t>
            </w:r>
          </w:p>
        </w:tc>
      </w:tr>
      <w:tr>
        <w:trPr>
          <w:cantSplit/>
        </w:trPr>
        <w:tc>
          <w:tcPr>
            <w:tcW w:type="dxa" w:w="3240"/>
            <w:vAlign w:val="center"/>
            <w:tcMar>
              <w:top w:w="95" w:type="dxa"/>
              <w:start w:w="115" w:type="dxa"/>
              <w:bottom w:w="95" w:type="dxa"/>
              <w:end w:w="115" w:type="dxa"/>
            </w:tcMar>
          </w:tcPr>
          <w:p>
            <w:pPr>
              <w:spacing w:after="0" w:line="250" w:lineRule="auto"/>
            </w:pPr>
            <w:r/>
            <w:r>
              <w:rPr>
                <w:rFonts w:ascii="Arial" w:hAnsi="Arial"/>
                <w:b w:val="0"/>
                <w:color w:val="202124"/>
                <w:sz w:val="16"/>
              </w:rPr>
              <w:t>Source and claim provenance view</w:t>
            </w:r>
          </w:p>
        </w:tc>
        <w:tc>
          <w:tcPr>
            <w:tcW w:type="dxa" w:w="792"/>
            <w:vAlign w:val="center"/>
            <w:tcMar>
              <w:top w:w="95" w:type="dxa"/>
              <w:start w:w="115" w:type="dxa"/>
              <w:bottom w:w="95" w:type="dxa"/>
              <w:end w:w="115" w:type="dxa"/>
            </w:tcMar>
          </w:tcPr>
          <w:p>
            <w:pPr>
              <w:spacing w:after="0" w:line="250" w:lineRule="auto"/>
            </w:pPr>
            <w:r/>
            <w:r>
              <w:rPr>
                <w:rFonts w:ascii="Arial" w:hAnsi="Arial"/>
                <w:b w:val="0"/>
                <w:color w:val="202124"/>
                <w:sz w:val="16"/>
              </w:rPr>
              <w:t>5</w:t>
            </w:r>
          </w:p>
        </w:tc>
        <w:tc>
          <w:tcPr>
            <w:tcW w:type="dxa" w:w="792"/>
            <w:vAlign w:val="center"/>
            <w:tcMar>
              <w:top w:w="95" w:type="dxa"/>
              <w:start w:w="115" w:type="dxa"/>
              <w:bottom w:w="95" w:type="dxa"/>
              <w:end w:w="115" w:type="dxa"/>
            </w:tcMar>
          </w:tcPr>
          <w:p>
            <w:pPr>
              <w:spacing w:after="0" w:line="250" w:lineRule="auto"/>
            </w:pPr>
            <w:r/>
            <w:r>
              <w:rPr>
                <w:rFonts w:ascii="Arial" w:hAnsi="Arial"/>
                <w:b w:val="0"/>
                <w:color w:val="202124"/>
                <w:sz w:val="16"/>
              </w:rPr>
              <w:t>5</w:t>
            </w:r>
          </w:p>
        </w:tc>
        <w:tc>
          <w:tcPr>
            <w:tcW w:type="dxa" w:w="1080"/>
            <w:vAlign w:val="center"/>
            <w:tcMar>
              <w:top w:w="95" w:type="dxa"/>
              <w:start w:w="115" w:type="dxa"/>
              <w:bottom w:w="95" w:type="dxa"/>
              <w:end w:w="115" w:type="dxa"/>
            </w:tcMar>
          </w:tcPr>
          <w:p>
            <w:pPr>
              <w:spacing w:after="0" w:line="250" w:lineRule="auto"/>
            </w:pPr>
            <w:r/>
            <w:r>
              <w:rPr>
                <w:rFonts w:ascii="Arial" w:hAnsi="Arial"/>
                <w:b w:val="0"/>
                <w:color w:val="202124"/>
                <w:sz w:val="16"/>
              </w:rPr>
              <w:t>4</w:t>
            </w:r>
          </w:p>
        </w:tc>
        <w:tc>
          <w:tcPr>
            <w:tcW w:type="dxa" w:w="792"/>
            <w:vAlign w:val="center"/>
            <w:tcMar>
              <w:top w:w="95" w:type="dxa"/>
              <w:start w:w="115" w:type="dxa"/>
              <w:bottom w:w="95" w:type="dxa"/>
              <w:end w:w="115" w:type="dxa"/>
            </w:tcMar>
          </w:tcPr>
          <w:p>
            <w:pPr>
              <w:spacing w:after="0" w:line="250" w:lineRule="auto"/>
            </w:pPr>
            <w:r/>
            <w:r>
              <w:rPr>
                <w:rFonts w:ascii="Arial" w:hAnsi="Arial"/>
                <w:b w:val="0"/>
                <w:color w:val="202124"/>
                <w:sz w:val="16"/>
              </w:rPr>
              <w:t>4</w:t>
            </w:r>
          </w:p>
        </w:tc>
        <w:tc>
          <w:tcPr>
            <w:tcW w:type="dxa" w:w="1224"/>
            <w:vAlign w:val="center"/>
            <w:tcMar>
              <w:top w:w="95" w:type="dxa"/>
              <w:start w:w="115" w:type="dxa"/>
              <w:bottom w:w="95" w:type="dxa"/>
              <w:end w:w="115" w:type="dxa"/>
            </w:tcMar>
          </w:tcPr>
          <w:p>
            <w:pPr>
              <w:spacing w:after="0" w:line="250" w:lineRule="auto"/>
            </w:pPr>
            <w:r/>
            <w:r>
              <w:rPr>
                <w:rFonts w:ascii="Arial" w:hAnsi="Arial"/>
                <w:b w:val="0"/>
                <w:color w:val="202124"/>
                <w:sz w:val="16"/>
              </w:rPr>
              <w:t>4</w:t>
            </w:r>
          </w:p>
        </w:tc>
        <w:tc>
          <w:tcPr>
            <w:tcW w:type="dxa" w:w="1584"/>
            <w:vAlign w:val="center"/>
            <w:tcMar>
              <w:top w:w="95" w:type="dxa"/>
              <w:start w:w="115" w:type="dxa"/>
              <w:bottom w:w="95" w:type="dxa"/>
              <w:end w:w="115" w:type="dxa"/>
            </w:tcMar>
          </w:tcPr>
          <w:p>
            <w:pPr>
              <w:spacing w:after="0" w:line="250" w:lineRule="auto"/>
            </w:pPr>
            <w:r/>
            <w:r>
              <w:rPr>
                <w:rFonts w:ascii="Arial" w:hAnsi="Arial"/>
                <w:b w:val="0"/>
                <w:color w:val="202124"/>
                <w:sz w:val="16"/>
              </w:rPr>
              <w:t>4.6</w:t>
            </w:r>
          </w:p>
        </w:tc>
      </w:tr>
      <w:tr>
        <w:trPr>
          <w:cantSplit/>
        </w:trPr>
        <w:tc>
          <w:tcPr>
            <w:tcW w:type="dxa" w:w="3240"/>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Clustering quality and correction tools</w:t>
            </w:r>
          </w:p>
        </w:tc>
        <w:tc>
          <w:tcPr>
            <w:tcW w:type="dxa" w:w="792"/>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4</w:t>
            </w:r>
          </w:p>
        </w:tc>
        <w:tc>
          <w:tcPr>
            <w:tcW w:type="dxa" w:w="792"/>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5</w:t>
            </w:r>
          </w:p>
        </w:tc>
        <w:tc>
          <w:tcPr>
            <w:tcW w:type="dxa" w:w="1080"/>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3</w:t>
            </w:r>
          </w:p>
        </w:tc>
        <w:tc>
          <w:tcPr>
            <w:tcW w:type="dxa" w:w="792"/>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4</w:t>
            </w:r>
          </w:p>
        </w:tc>
        <w:tc>
          <w:tcPr>
            <w:tcW w:type="dxa" w:w="1224"/>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4</w:t>
            </w:r>
          </w:p>
        </w:tc>
        <w:tc>
          <w:tcPr>
            <w:tcW w:type="dxa" w:w="1584"/>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4.1</w:t>
            </w:r>
          </w:p>
        </w:tc>
      </w:tr>
      <w:tr>
        <w:trPr>
          <w:cantSplit/>
        </w:trPr>
        <w:tc>
          <w:tcPr>
            <w:tcW w:type="dxa" w:w="3240"/>
            <w:vAlign w:val="center"/>
            <w:tcMar>
              <w:top w:w="95" w:type="dxa"/>
              <w:start w:w="115" w:type="dxa"/>
              <w:bottom w:w="95" w:type="dxa"/>
              <w:end w:w="115" w:type="dxa"/>
            </w:tcMar>
          </w:tcPr>
          <w:p>
            <w:pPr>
              <w:spacing w:after="0" w:line="250" w:lineRule="auto"/>
            </w:pPr>
            <w:r/>
            <w:r>
              <w:rPr>
                <w:rFonts w:ascii="Arial" w:hAnsi="Arial"/>
                <w:b w:val="0"/>
                <w:color w:val="202124"/>
                <w:sz w:val="16"/>
              </w:rPr>
              <w:t>Reader controls and topic filters</w:t>
            </w:r>
          </w:p>
        </w:tc>
        <w:tc>
          <w:tcPr>
            <w:tcW w:type="dxa" w:w="792"/>
            <w:vAlign w:val="center"/>
            <w:tcMar>
              <w:top w:w="95" w:type="dxa"/>
              <w:start w:w="115" w:type="dxa"/>
              <w:bottom w:w="95" w:type="dxa"/>
              <w:end w:w="115" w:type="dxa"/>
            </w:tcMar>
          </w:tcPr>
          <w:p>
            <w:pPr>
              <w:spacing w:after="0" w:line="250" w:lineRule="auto"/>
            </w:pPr>
            <w:r/>
            <w:r>
              <w:rPr>
                <w:rFonts w:ascii="Arial" w:hAnsi="Arial"/>
                <w:b w:val="0"/>
                <w:color w:val="202124"/>
                <w:sz w:val="16"/>
              </w:rPr>
              <w:t>4</w:t>
            </w:r>
          </w:p>
        </w:tc>
        <w:tc>
          <w:tcPr>
            <w:tcW w:type="dxa" w:w="792"/>
            <w:vAlign w:val="center"/>
            <w:tcMar>
              <w:top w:w="95" w:type="dxa"/>
              <w:start w:w="115" w:type="dxa"/>
              <w:bottom w:w="95" w:type="dxa"/>
              <w:end w:w="115" w:type="dxa"/>
            </w:tcMar>
          </w:tcPr>
          <w:p>
            <w:pPr>
              <w:spacing w:after="0" w:line="250" w:lineRule="auto"/>
            </w:pPr>
            <w:r/>
            <w:r>
              <w:rPr>
                <w:rFonts w:ascii="Arial" w:hAnsi="Arial"/>
                <w:b w:val="0"/>
                <w:color w:val="202124"/>
                <w:sz w:val="16"/>
              </w:rPr>
              <w:t>3</w:t>
            </w:r>
          </w:p>
        </w:tc>
        <w:tc>
          <w:tcPr>
            <w:tcW w:type="dxa" w:w="1080"/>
            <w:vAlign w:val="center"/>
            <w:tcMar>
              <w:top w:w="95" w:type="dxa"/>
              <w:start w:w="115" w:type="dxa"/>
              <w:bottom w:w="95" w:type="dxa"/>
              <w:end w:w="115" w:type="dxa"/>
            </w:tcMar>
          </w:tcPr>
          <w:p>
            <w:pPr>
              <w:spacing w:after="0" w:line="250" w:lineRule="auto"/>
            </w:pPr>
            <w:r/>
            <w:r>
              <w:rPr>
                <w:rFonts w:ascii="Arial" w:hAnsi="Arial"/>
                <w:b w:val="0"/>
                <w:color w:val="202124"/>
                <w:sz w:val="16"/>
              </w:rPr>
              <w:t>4</w:t>
            </w:r>
          </w:p>
        </w:tc>
        <w:tc>
          <w:tcPr>
            <w:tcW w:type="dxa" w:w="792"/>
            <w:vAlign w:val="center"/>
            <w:tcMar>
              <w:top w:w="95" w:type="dxa"/>
              <w:start w:w="115" w:type="dxa"/>
              <w:bottom w:w="95" w:type="dxa"/>
              <w:end w:w="115" w:type="dxa"/>
            </w:tcMar>
          </w:tcPr>
          <w:p>
            <w:pPr>
              <w:spacing w:after="0" w:line="250" w:lineRule="auto"/>
            </w:pPr>
            <w:r/>
            <w:r>
              <w:rPr>
                <w:rFonts w:ascii="Arial" w:hAnsi="Arial"/>
                <w:b w:val="0"/>
                <w:color w:val="202124"/>
                <w:sz w:val="16"/>
              </w:rPr>
              <w:t>4</w:t>
            </w:r>
          </w:p>
        </w:tc>
        <w:tc>
          <w:tcPr>
            <w:tcW w:type="dxa" w:w="1224"/>
            <w:vAlign w:val="center"/>
            <w:tcMar>
              <w:top w:w="95" w:type="dxa"/>
              <w:start w:w="115" w:type="dxa"/>
              <w:bottom w:w="95" w:type="dxa"/>
              <w:end w:w="115" w:type="dxa"/>
            </w:tcMar>
          </w:tcPr>
          <w:p>
            <w:pPr>
              <w:spacing w:after="0" w:line="250" w:lineRule="auto"/>
            </w:pPr>
            <w:r/>
            <w:r>
              <w:rPr>
                <w:rFonts w:ascii="Arial" w:hAnsi="Arial"/>
                <w:b w:val="0"/>
                <w:color w:val="202124"/>
                <w:sz w:val="16"/>
              </w:rPr>
              <w:t>3</w:t>
            </w:r>
          </w:p>
        </w:tc>
        <w:tc>
          <w:tcPr>
            <w:tcW w:type="dxa" w:w="1584"/>
            <w:vAlign w:val="center"/>
            <w:tcMar>
              <w:top w:w="95" w:type="dxa"/>
              <w:start w:w="115" w:type="dxa"/>
              <w:bottom w:w="95" w:type="dxa"/>
              <w:end w:w="115" w:type="dxa"/>
            </w:tcMar>
          </w:tcPr>
          <w:p>
            <w:pPr>
              <w:spacing w:after="0" w:line="250" w:lineRule="auto"/>
            </w:pPr>
            <w:r/>
            <w:r>
              <w:rPr>
                <w:rFonts w:ascii="Arial" w:hAnsi="Arial"/>
                <w:b w:val="0"/>
                <w:color w:val="202124"/>
                <w:sz w:val="16"/>
              </w:rPr>
              <w:t>3.6</w:t>
            </w:r>
          </w:p>
        </w:tc>
      </w:tr>
      <w:tr>
        <w:trPr>
          <w:cantSplit/>
        </w:trPr>
        <w:tc>
          <w:tcPr>
            <w:tcW w:type="dxa" w:w="3240"/>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Newsletter personalization</w:t>
            </w:r>
          </w:p>
        </w:tc>
        <w:tc>
          <w:tcPr>
            <w:tcW w:type="dxa" w:w="792"/>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3</w:t>
            </w:r>
          </w:p>
        </w:tc>
        <w:tc>
          <w:tcPr>
            <w:tcW w:type="dxa" w:w="792"/>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3</w:t>
            </w:r>
          </w:p>
        </w:tc>
        <w:tc>
          <w:tcPr>
            <w:tcW w:type="dxa" w:w="1080"/>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3</w:t>
            </w:r>
          </w:p>
        </w:tc>
        <w:tc>
          <w:tcPr>
            <w:tcW w:type="dxa" w:w="792"/>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4</w:t>
            </w:r>
          </w:p>
        </w:tc>
        <w:tc>
          <w:tcPr>
            <w:tcW w:type="dxa" w:w="1224"/>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3</w:t>
            </w:r>
          </w:p>
        </w:tc>
        <w:tc>
          <w:tcPr>
            <w:tcW w:type="dxa" w:w="1584"/>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3.1</w:t>
            </w:r>
          </w:p>
        </w:tc>
      </w:tr>
      <w:tr>
        <w:trPr>
          <w:cantSplit/>
        </w:trPr>
        <w:tc>
          <w:tcPr>
            <w:tcW w:type="dxa" w:w="3240"/>
            <w:vAlign w:val="center"/>
            <w:tcMar>
              <w:top w:w="95" w:type="dxa"/>
              <w:start w:w="115" w:type="dxa"/>
              <w:bottom w:w="95" w:type="dxa"/>
              <w:end w:w="115" w:type="dxa"/>
            </w:tcMar>
          </w:tcPr>
          <w:p>
            <w:pPr>
              <w:spacing w:after="0" w:line="250" w:lineRule="auto"/>
            </w:pPr>
            <w:r/>
            <w:r>
              <w:rPr>
                <w:rFonts w:ascii="Arial" w:hAnsi="Arial"/>
                <w:b w:val="0"/>
                <w:color w:val="202124"/>
                <w:sz w:val="16"/>
              </w:rPr>
              <w:t>Automated video publishing</w:t>
            </w:r>
          </w:p>
        </w:tc>
        <w:tc>
          <w:tcPr>
            <w:tcW w:type="dxa" w:w="792"/>
            <w:vAlign w:val="center"/>
            <w:tcMar>
              <w:top w:w="95" w:type="dxa"/>
              <w:start w:w="115" w:type="dxa"/>
              <w:bottom w:w="95" w:type="dxa"/>
              <w:end w:w="115" w:type="dxa"/>
            </w:tcMar>
          </w:tcPr>
          <w:p>
            <w:pPr>
              <w:spacing w:after="0" w:line="250" w:lineRule="auto"/>
            </w:pPr>
            <w:r/>
            <w:r>
              <w:rPr>
                <w:rFonts w:ascii="Arial" w:hAnsi="Arial"/>
                <w:b w:val="0"/>
                <w:color w:val="202124"/>
                <w:sz w:val="16"/>
              </w:rPr>
              <w:t>3</w:t>
            </w:r>
          </w:p>
        </w:tc>
        <w:tc>
          <w:tcPr>
            <w:tcW w:type="dxa" w:w="792"/>
            <w:vAlign w:val="center"/>
            <w:tcMar>
              <w:top w:w="95" w:type="dxa"/>
              <w:start w:w="115" w:type="dxa"/>
              <w:bottom w:w="95" w:type="dxa"/>
              <w:end w:w="115" w:type="dxa"/>
            </w:tcMar>
          </w:tcPr>
          <w:p>
            <w:pPr>
              <w:spacing w:after="0" w:line="250" w:lineRule="auto"/>
            </w:pPr>
            <w:r/>
            <w:r>
              <w:rPr>
                <w:rFonts w:ascii="Arial" w:hAnsi="Arial"/>
                <w:b w:val="0"/>
                <w:color w:val="202124"/>
                <w:sz w:val="16"/>
              </w:rPr>
              <w:t>2</w:t>
            </w:r>
          </w:p>
        </w:tc>
        <w:tc>
          <w:tcPr>
            <w:tcW w:type="dxa" w:w="1080"/>
            <w:vAlign w:val="center"/>
            <w:tcMar>
              <w:top w:w="95" w:type="dxa"/>
              <w:start w:w="115" w:type="dxa"/>
              <w:bottom w:w="95" w:type="dxa"/>
              <w:end w:w="115" w:type="dxa"/>
            </w:tcMar>
          </w:tcPr>
          <w:p>
            <w:pPr>
              <w:spacing w:after="0" w:line="250" w:lineRule="auto"/>
            </w:pPr>
            <w:r/>
            <w:r>
              <w:rPr>
                <w:rFonts w:ascii="Arial" w:hAnsi="Arial"/>
                <w:b w:val="0"/>
                <w:color w:val="202124"/>
                <w:sz w:val="16"/>
              </w:rPr>
              <w:t>2</w:t>
            </w:r>
          </w:p>
        </w:tc>
        <w:tc>
          <w:tcPr>
            <w:tcW w:type="dxa" w:w="792"/>
            <w:vAlign w:val="center"/>
            <w:tcMar>
              <w:top w:w="95" w:type="dxa"/>
              <w:start w:w="115" w:type="dxa"/>
              <w:bottom w:w="95" w:type="dxa"/>
              <w:end w:w="115" w:type="dxa"/>
            </w:tcMar>
          </w:tcPr>
          <w:p>
            <w:pPr>
              <w:spacing w:after="0" w:line="250" w:lineRule="auto"/>
            </w:pPr>
            <w:r/>
            <w:r>
              <w:rPr>
                <w:rFonts w:ascii="Arial" w:hAnsi="Arial"/>
                <w:b w:val="0"/>
                <w:color w:val="202124"/>
                <w:sz w:val="16"/>
              </w:rPr>
              <w:t>4</w:t>
            </w:r>
          </w:p>
        </w:tc>
        <w:tc>
          <w:tcPr>
            <w:tcW w:type="dxa" w:w="1224"/>
            <w:vAlign w:val="center"/>
            <w:tcMar>
              <w:top w:w="95" w:type="dxa"/>
              <w:start w:w="115" w:type="dxa"/>
              <w:bottom w:w="95" w:type="dxa"/>
              <w:end w:w="115" w:type="dxa"/>
            </w:tcMar>
          </w:tcPr>
          <w:p>
            <w:pPr>
              <w:spacing w:after="0" w:line="250" w:lineRule="auto"/>
            </w:pPr>
            <w:r/>
            <w:r>
              <w:rPr>
                <w:rFonts w:ascii="Arial" w:hAnsi="Arial"/>
                <w:b w:val="0"/>
                <w:color w:val="202124"/>
                <w:sz w:val="16"/>
              </w:rPr>
              <w:t>2</w:t>
            </w:r>
          </w:p>
        </w:tc>
        <w:tc>
          <w:tcPr>
            <w:tcW w:type="dxa" w:w="1584"/>
            <w:vAlign w:val="center"/>
            <w:tcMar>
              <w:top w:w="95" w:type="dxa"/>
              <w:start w:w="115" w:type="dxa"/>
              <w:bottom w:w="95" w:type="dxa"/>
              <w:end w:w="115" w:type="dxa"/>
            </w:tcMar>
          </w:tcPr>
          <w:p>
            <w:pPr>
              <w:spacing w:after="0" w:line="250" w:lineRule="auto"/>
            </w:pPr>
            <w:r/>
            <w:r>
              <w:rPr>
                <w:rFonts w:ascii="Arial" w:hAnsi="Arial"/>
                <w:b w:val="0"/>
                <w:color w:val="202124"/>
                <w:sz w:val="16"/>
              </w:rPr>
              <w:t>2.5</w:t>
            </w:r>
          </w:p>
        </w:tc>
      </w:tr>
      <w:tr>
        <w:trPr>
          <w:cantSplit/>
        </w:trPr>
        <w:tc>
          <w:tcPr>
            <w:tcW w:type="dxa" w:w="3240"/>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Sherlock research mode</w:t>
            </w:r>
          </w:p>
        </w:tc>
        <w:tc>
          <w:tcPr>
            <w:tcW w:type="dxa" w:w="792"/>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4</w:t>
            </w:r>
          </w:p>
        </w:tc>
        <w:tc>
          <w:tcPr>
            <w:tcW w:type="dxa" w:w="792"/>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4</w:t>
            </w:r>
          </w:p>
        </w:tc>
        <w:tc>
          <w:tcPr>
            <w:tcW w:type="dxa" w:w="1080"/>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2</w:t>
            </w:r>
          </w:p>
        </w:tc>
        <w:tc>
          <w:tcPr>
            <w:tcW w:type="dxa" w:w="792"/>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3</w:t>
            </w:r>
          </w:p>
        </w:tc>
        <w:tc>
          <w:tcPr>
            <w:tcW w:type="dxa" w:w="1224"/>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2</w:t>
            </w:r>
          </w:p>
        </w:tc>
        <w:tc>
          <w:tcPr>
            <w:tcW w:type="dxa" w:w="1584"/>
            <w:shd w:fill="F5F7F7"/>
            <w:vAlign w:val="center"/>
            <w:tcMar>
              <w:top w:w="95" w:type="dxa"/>
              <w:start w:w="115" w:type="dxa"/>
              <w:bottom w:w="95" w:type="dxa"/>
              <w:end w:w="115" w:type="dxa"/>
            </w:tcMar>
          </w:tcPr>
          <w:p>
            <w:pPr>
              <w:spacing w:after="0" w:line="250" w:lineRule="auto"/>
            </w:pPr>
            <w:r/>
            <w:r>
              <w:rPr>
                <w:rFonts w:ascii="Arial" w:hAnsi="Arial"/>
                <w:b w:val="0"/>
                <w:color w:val="202124"/>
                <w:sz w:val="16"/>
              </w:rPr>
              <w:t>3.3</w:t>
            </w:r>
          </w:p>
        </w:tc>
      </w:tr>
    </w:tbl>
    <w:p>
      <w:pPr>
        <w:widowControl/>
        <w:spacing w:after="40" w:before="0" w:line="40" w:lineRule="exact"/>
      </w:pPr>
    </w:p>
    <w:p>
      <w:pPr>
        <w:widowControl/>
      </w:pPr>
      <w:r>
        <w:rPr>
          <w:i w:val="0"/>
        </w:rPr>
        <w:t>Recommended sequence</w:t>
      </w:r>
    </w:p>
    <w:p>
      <w:pPr>
        <w:pStyle w:val="ListBullet"/>
        <w:widowControl/>
        <w:spacing w:after="60"/>
        <w:ind w:left="317" w:hanging="216"/>
      </w:pPr>
      <w:r>
        <w:t>Strengthen source links, claim status, cluster quality, and correction visibility.</w:t>
      </w:r>
    </w:p>
    <w:p>
      <w:pPr>
        <w:pStyle w:val="ListBullet"/>
        <w:widowControl/>
        <w:spacing w:after="60"/>
        <w:ind w:left="317" w:hanging="216"/>
      </w:pPr>
      <w:r>
        <w:t>Connect the reader interface to the production story API and clearly label sample content.</w:t>
      </w:r>
    </w:p>
    <w:p>
      <w:pPr>
        <w:pStyle w:val="ListBullet"/>
        <w:widowControl/>
        <w:spacing w:after="60"/>
        <w:ind w:left="317" w:hanging="216"/>
      </w:pPr>
      <w:r>
        <w:t>Validate newsletter and audio needs with readers before promising automated delivery.</w:t>
      </w:r>
    </w:p>
    <w:p>
      <w:pPr>
        <w:pStyle w:val="ListBullet"/>
        <w:widowControl/>
        <w:spacing w:after="60"/>
        <w:ind w:left="317" w:hanging="216"/>
      </w:pPr>
      <w:r>
        <w:t>Keep generated video publication approval-gated until quality and correction controls are demonstrated.</w:t>
      </w:r>
    </w:p>
    <w:p>
      <w:pPr>
        <w:widowControl/>
      </w:pPr>
      <w:r>
        <w:rPr>
          <w:b/>
        </w:rPr>
        <w:t>Source note</w:t>
      </w:r>
      <w:r/>
    </w:p>
    <w:p>
      <w:pPr>
        <w:widowControl/>
      </w:pPr>
      <w:r>
        <w:rPr>
          <w:i w:val="0"/>
        </w:rPr>
        <w:t>Prepared from the supplied WeAware presentation and source files in this repository, including backend/ingestion, backend/api, WEAWARE/src, and video/pipeline and video/api. Presentation-only claims are labeled as such; code status reflects files reviewed on 16 October 2026.</w:t>
      </w:r>
    </w:p>
    <w:p>
      <w:pPr>
        <w:widowControl/>
        <w:spacing w:before="200"/>
      </w:pPr>
      <w:r>
        <w:rPr>
          <w:b/>
          <w:color w:val="2A8584"/>
          <w:sz w:val="22"/>
        </w:rPr>
        <w:t>WeAware exists to make it easier to compare coverage and inspect the evidence. The reader remains the decision-maker.</w:t>
      </w:r>
    </w:p>
    <w:sectPr w:rsidR="00FC693F" w:rsidRPr="0006063C" w:rsidSect="00034616">
      <w:headerReference w:type="default" r:id="rId9"/>
      <w:footerReference w:type="default" r:id="rId10"/>
      <w:pgSz w:w="12240" w:h="15840"/>
      <w:pgMar w:top="1037" w:right="1123" w:bottom="1008"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65B60"/>
        <w:sz w:val="16"/>
      </w:rPr>
      <w:t xml:space="preserve">16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65B60"/>
        <w:sz w:val="16"/>
      </w:rPr>
      <w:t>WEAWARE NEWS  /  PROJECT DESIGN + SERVICE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202124"/>
      <w:sz w:val="46"/>
      <w:szCs w:val="28"/>
    </w:rPr>
  </w:style>
  <w:style w:type="paragraph" w:styleId="Heading2">
    <w:name w:val="heading 2"/>
    <w:basedOn w:val="Normal"/>
    <w:next w:val="Normal"/>
    <w:link w:val="Heading2Char"/>
    <w:uiPriority w:val="9"/>
    <w:unhideWhenUsed/>
    <w:qFormat/>
    <w:rsid w:val="00FC693F"/>
    <w:pPr>
      <w:keepNext/>
      <w:keepLines/>
      <w:spacing w:before="0" w:after="100"/>
      <w:outlineLvl w:val="1"/>
    </w:pPr>
    <w:rPr>
      <w:rFonts w:asciiTheme="majorHAnsi" w:eastAsiaTheme="majorEastAsia" w:hAnsiTheme="majorHAnsi" w:cstheme="majorBidi" w:ascii="Arial" w:hAnsi="Arial"/>
      <w:b/>
      <w:bCs/>
      <w:color w:val="202124"/>
      <w:sz w:val="28"/>
      <w:szCs w:val="26"/>
    </w:rPr>
  </w:style>
  <w:style w:type="paragraph" w:styleId="Heading3">
    <w:name w:val="heading 3"/>
    <w:basedOn w:val="Normal"/>
    <w:next w:val="Normal"/>
    <w:link w:val="Heading3Char"/>
    <w:uiPriority w:val="9"/>
    <w:unhideWhenUsed/>
    <w:qFormat/>
    <w:rsid w:val="00FC693F"/>
    <w:pPr>
      <w:keepNext/>
      <w:keepLines/>
      <w:spacing w:before="0" w:after="100"/>
      <w:outlineLvl w:val="2"/>
    </w:pPr>
    <w:rPr>
      <w:rFonts w:asciiTheme="majorHAnsi" w:eastAsiaTheme="majorEastAsia" w:hAnsiTheme="majorHAnsi" w:cstheme="majorBidi" w:ascii="Arial" w:hAnsi="Arial"/>
      <w:b/>
      <w:bCs/>
      <w:color w:val="2021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val="0"/>
      <w:color w:val="20212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WeAware News Project Design and Service Plan</dc:title>
  <dc:subject>Portrait SDM SLA reference-format document</dc:subject>
  <dc:creator>WeAware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