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EGFR-mutant NSCLC (EU, 2023)</w:t>
      </w:r>
    </w:p>
    <w:p>
      <w:r>
        <w:t>Report date: 2023-09-21 | Prepared by: Greta Lindholm</w:t>
      </w:r>
    </w:p>
    <w:p>
      <w:pPr>
        <w:pStyle w:val="Heading1"/>
      </w:pPr>
      <w:r>
        <w:t>Disease Overview</w:t>
      </w:r>
    </w:p>
    <w:p>
      <w:r>
        <w:t>Egfr-mutant nsclc represents 16-38% of cases in its category. Unmet need remains significant in patients who have progressed on first-line therapy, with an estimated overall survival of approximately 56% at 36 months.</w:t>
      </w:r>
    </w:p>
    <w:p>
      <w:r>
        <w:t>Prevalence and incidence vary by region; EU data show stable diagnosis rates since 2021.</w:t>
      </w:r>
    </w:p>
    <w:p>
      <w:pPr>
        <w:pStyle w:val="Heading1"/>
      </w:pPr>
      <w:r>
        <w:t>Standard of Care</w:t>
      </w:r>
    </w:p>
    <w:p>
      <w:r>
        <w:t>Current guidelines recommend monotherapy as first-line treatment. Comorbidity management and biomarker testing influence the treatment choice.</w:t>
      </w:r>
    </w:p>
    <w:p>
      <w:r>
        <w:t>Marketed options include Tagrisa.</w:t>
      </w:r>
    </w:p>
    <w:p>
      <w:pPr>
        <w:pStyle w:val="Heading1"/>
      </w:pPr>
      <w:r>
        <w:t>Unmet Need</w:t>
      </w:r>
    </w:p>
    <w:p>
      <w:r>
        <w:t>Oncologists identified missed maintenance doses and cost and formulary access remain barriers as the main unmet needs in EGFR-mutant NSCLC.</w:t>
      </w:r>
    </w:p>
    <w:p>
      <w:r>
        <w:t>Patient-reported outcomes and quality of life measures are increasingly used to guide treatment decisions.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EGFR-mutant NSCLC. Early data suggest improved progression-free survival and a manageable safety profile.</w:t>
      </w:r>
    </w:p>
    <w:p>
      <w:pPr>
        <w:pStyle w:val="Heading1"/>
      </w:pPr>
      <w:r>
        <w:t>Implications for Brands</w:t>
      </w:r>
    </w:p>
    <w:p>
      <w:r>
        <w:t>Tagrisa is positioned to benefit if payers expand reimbursement. Brand teams should invest in real-world evidence and oncologist education.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EGFR-mutant NSCLC (EU, 2023)</dc:title>
  <dc:subject/>
  <dc:creator>Greta Lindholm</dc:creator>
  <cp:keywords/>
  <dc:description>generated by python-docx</dc:description>
  <cp:lastModifiedBy/>
  <cp:revision>1</cp:revision>
  <dcterms:created xsi:type="dcterms:W3CDTF">2023-09-21T09:00:00Z</dcterms:created>
  <dcterms:modified xsi:type="dcterms:W3CDTF">2013-12-23T23:15:00Z</dcterms:modified>
  <cp:category/>
</cp:coreProperties>
</file>