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Indication Deep Dive: heart failure with reduced ejection fraction (US, 2022)</w:t>
      </w:r>
    </w:p>
    <w:p>
      <w:r>
        <w:t>Report date: 2022-12-19 | Prepared by: Hannah Weiss</w:t>
      </w:r>
    </w:p>
    <w:p>
      <w:pPr>
        <w:pStyle w:val="Heading1"/>
      </w:pPr>
      <w:r>
        <w:t>Disease Overview</w:t>
      </w:r>
    </w:p>
    <w:p>
      <w:r>
        <w:t>Heart failure with reduced ejection fraction represents 11-35% of cases in its category. Unmet need remains significant in patients who have progressed on first-line therapy, with an estimated overall survival of approximately 50% at 36 months.</w:t>
      </w:r>
    </w:p>
    <w:p>
      <w:r>
        <w:t>Prevalence and incidence vary by region; US data show rising diagnosis rates since 2020.</w:t>
      </w:r>
    </w:p>
    <w:p>
      <w:pPr>
        <w:pStyle w:val="Heading1"/>
      </w:pPr>
      <w:r>
        <w:t>Standard of Care</w:t>
      </w:r>
    </w:p>
    <w:p>
      <w:r>
        <w:t>Current guidelines recommend monotherapy as first-line treatment. Comorbidity management and biomarker testing influence the treatment choice.</w:t>
      </w:r>
    </w:p>
    <w:p>
      <w:r>
        <w:t>Marketed options include Entrestra, Jardiva, Verquvia.</w:t>
      </w:r>
    </w:p>
    <w:p>
      <w:r>
        <w:t>Regional variation within United States is notable: large centres report faster uptake and broader use than smaller regional hospitals.</w:t>
      </w:r>
    </w:p>
    <w:p>
      <w:r>
        <w:t>Guideline committees are expected to review the evidence base for heart failure with reduced ejection fraction again next year, which could change eligibility criteria and referral patterns.</w:t>
      </w:r>
    </w:p>
    <w:p>
      <w:r>
        <w:t>Real-world evidence from registries suggests that outcomes in routine practice are broadly consistent with phase 3 trial results, although persistence and discontinuation rates are higher outside clinical trials.</w:t>
      </w:r>
    </w:p>
    <w:p>
      <w:r>
        <w:t>Combination therapy and sequencing strategies remain debated; respondents noted limited head-to-head evidence between Entrestra and competing agents.</w:t>
      </w:r>
    </w:p>
    <w:p>
      <w:r>
        <w:t>Patient advocacy groups are pushing for earlier access, and shared decision-making tools are being piloted to explain benefit, risk and treatment burden.</w:t>
      </w:r>
    </w:p>
    <w:p>
      <w:r>
        <w:t>Access to specialist centres influences adoption: academic centres adopt new therapies faster than community practices, where formulary restrictions and reimbursement criteria apply.</w:t>
      </w:r>
    </w:p>
    <w:p>
      <w:r>
        <w:t>Supply and logistics are not a concern for Entrestra, though cold-chain handling and nurse-led administration add workload in busy clinics.</w:t>
      </w:r>
    </w:p>
    <w:p>
      <w:r>
        <w:t>Subgroup analyses suggest that benefit with Entrestra is most pronounced in patients with a favourable biomarker profile and a lower comorbidity burden.</w:t>
      </w:r>
    </w:p>
    <w:p>
      <w:pPr>
        <w:pStyle w:val="Heading1"/>
      </w:pPr>
      <w:r>
        <w:t>Unmet Need</w:t>
      </w:r>
    </w:p>
    <w:p>
      <w:r>
        <w:t>Cardiologists identified injection-site discomfort and the dosing schedule complicates adherence as the main unmet needs in heart failure with reduced ejection fraction.</w:t>
      </w:r>
    </w:p>
    <w:p>
      <w:r>
        <w:t>Patient-reported outcomes and quality of life measures are increasingly used to guide treatment decisions.</w:t>
      </w:r>
    </w:p>
    <w:p>
      <w:r>
        <w:t>Payer decisions increasingly rely on health technology assessment, requiring evidence of clinical benefit versus the standard of care and cost-effectiveness analyses.</w:t>
      </w:r>
    </w:p>
    <w:p>
      <w:r>
        <w:t>Supply and logistics are not a concern for Entrestra, though cold-chain handling and nurse-led administration add workload in busy clinics.</w:t>
      </w:r>
    </w:p>
    <w:p>
      <w:r>
        <w:t>The unmet need in heart failure with reduced ejection fraction persists in patients who relapse or become refractory, where options are limited and outcomes remain poor.</w:t>
      </w:r>
    </w:p>
    <w:p>
      <w:r>
        <w:t>Education needs include biomarker testing, management of adverse events and counselling patients on the expected benefit-risk.</w:t>
      </w:r>
    </w:p>
    <w:p>
      <w:r>
        <w:t>Medical education priorities include recognising bleeding events early, communicating realistic expectations, and coordinating with primary care.</w:t>
      </w:r>
    </w:p>
    <w:p>
      <w:r>
        <w:t>Regional variation within United States is notable: large centres report faster uptake and broader use than smaller regional hospitals.</w:t>
      </w:r>
    </w:p>
    <w:p>
      <w:r>
        <w:t>Access to specialist centres influences adoption: academic centres adopt new therapies faster than community practices, where formulary restrictions and reimbursement criteria apply.</w:t>
      </w:r>
    </w:p>
    <w:p>
      <w:r>
        <w:t>Guideline committees are expected to review the evidence base for heart failure with reduced ejection fraction again next year, which could change eligibility criteria and referral patterns.</w:t>
      </w:r>
    </w:p>
    <w:p>
      <w:pPr>
        <w:pStyle w:val="Heading1"/>
      </w:pPr>
      <w:r>
        <w:t>Pipeline and Emerging Therapies</w:t>
      </w:r>
    </w:p>
    <w:p>
      <w:r>
        <w:t>Several phase 3 programmes are evaluating next-generation options in heart failure with reduced ejection fraction. Early data suggest improved progression-free survival and a manageable safety profile.</w:t>
      </w:r>
    </w:p>
    <w:p>
      <w:r>
        <w:t>Real-world evidence from registries suggests that outcomes in routine practice are broadly consistent with phase 3 trial results, although persistence and discontinuation rates are higher outside clinical trials.</w:t>
      </w:r>
    </w:p>
    <w:p>
      <w:r>
        <w:t>The unmet need in heart failure with reduced ejection fraction persists in patients who relapse or become refractory, where options are limited and outcomes remain poor.</w:t>
      </w:r>
    </w:p>
    <w:p>
      <w:r>
        <w:t>Cardiologists emphasised that patient-reported outcomes and quality of life are increasingly important when choosing between Angiotensin receptor-neprilysin inhibitor options.</w:t>
      </w:r>
    </w:p>
    <w:p>
      <w:r>
        <w:t>Sequencing after progression remains an open question; cardiologists in United States reported using a different mechanism of action after Entrestra fails.</w:t>
      </w:r>
    </w:p>
    <w:p>
      <w:r>
        <w:t>Peer-to-peer education and congress data were cited as the most trusted sources when cardiologists evaluate new evidence on Angiotensin receptor-neprilysin inhibitor agents.</w:t>
      </w:r>
    </w:p>
    <w:p>
      <w:r>
        <w:t>Payer decisions increasingly rely on health technology assessment, requiring evidence of clinical benefit versus the standard of care and cost-effectiveness analyses.</w:t>
      </w:r>
    </w:p>
    <w:p>
      <w:r>
        <w:t>Guideline committees are expected to review the evidence base for heart failure with reduced ejection fraction again next year, which could change eligibility criteria and referral patterns.</w:t>
      </w:r>
    </w:p>
    <w:p>
      <w:r>
        <w:t>Access to specialist centres influences adoption: academic centres adopt new therapies faster than community practices, where formulary restrictions and reimbursement criteria apply.</w:t>
      </w:r>
    </w:p>
    <w:p>
      <w:pPr>
        <w:pStyle w:val="Heading1"/>
      </w:pPr>
      <w:r>
        <w:t>Implications for Brands</w:t>
      </w:r>
    </w:p>
    <w:p>
      <w:r>
        <w:t>Entrestra is positioned to benefit if payers expand reimbursement. Brand teams should invest in real-world evidence and cardiologist education.</w:t>
      </w:r>
    </w:p>
    <w:p>
      <w:r>
        <w:t>Respondents expect real-world persistence on Entrestra to be lower than in trials, mainly because of treatment burden over long durations and the complexity of managing renal function decline.</w:t>
      </w:r>
    </w:p>
    <w:p>
      <w:r>
        <w:t>Education needs include biomarker testing, management of adverse events and counselling patients on the expected benefit-risk.</w:t>
      </w:r>
    </w:p>
    <w:p>
      <w:r>
        <w:t>Real-world evidence from registries suggests that outcomes in routine practice are broadly consistent with phase 3 trial results, although persistence and discontinuation rates are higher outside clinical trials.</w:t>
      </w:r>
    </w:p>
    <w:p>
      <w:r>
        <w:t>Treatment burden, including monitoring visits and treatment burden over long durations, was described as a key factor in long-term adherence and persistence.</w:t>
      </w:r>
    </w:p>
    <w:p>
      <w:r>
        <w:t>Cost-effectiveness submissions typically model refractory disease use, and payers question the durability of benefit beyond the trial follow-up period.</w:t>
      </w:r>
    </w:p>
    <w:p>
      <w:r>
        <w:t>Subgroup analyses suggest that benefit with Entrestra is most pronounced in patients with a favourable biomarker profile and a lower comorbidity burden.</w:t>
      </w:r>
    </w:p>
    <w:p>
      <w:r>
        <w:t>Guideline committees are expected to review the evidence base for heart failure with reduced ejection fraction again next year, which could change eligibility criteria and referral patterns.</w:t>
      </w:r>
    </w:p>
    <w:p>
      <w:r>
        <w:t>The competitive set is evolving as new mechanisms enter phase 3 development, with readouts expected over the next two to three years.</w:t>
      </w:r>
    </w:p>
    <w:p>
      <w:r>
        <w:t>Synthetic document generated for the Watson prototype. All brand names and figures are fictional.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Indication Deep Dive: heart failure with reduced ejection fraction (US, 2022)</dc:title>
  <dc:subject/>
  <dc:creator>Hannah Weiss</dc:creator>
  <cp:keywords/>
  <dc:description>generated by python-docx</dc:description>
  <cp:lastModifiedBy/>
  <cp:revision>1</cp:revision>
  <dcterms:created xsi:type="dcterms:W3CDTF">2022-12-19T09:00:00Z</dcterms:created>
  <dcterms:modified xsi:type="dcterms:W3CDTF">2013-12-23T23:15:00Z</dcterms:modified>
  <cp:category/>
</cp:coreProperties>
</file>