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KOL Interview Summary: Aimovia in Germany (2024)</w:t>
      </w:r>
    </w:p>
    <w:p>
      <w:r>
        <w:t>Report date: 2024-06-20 | Prepared by: Mei Tanaka</w:t>
      </w:r>
    </w:p>
    <w:p>
      <w:pPr>
        <w:pStyle w:val="Heading1"/>
      </w:pPr>
      <w:r>
        <w:t>Interview Summary</w:t>
      </w:r>
    </w:p>
    <w:p>
      <w:r>
        <w:t>Dr. Henrik Verhoeven, a leading neurologist in Germany, was interviewed on May 2024 about Aimovia (eremunab) in migraine.</w:t>
      </w:r>
    </w:p>
    <w:p>
      <w:r>
        <w:t>Dr. Henrik Verhoeven noted that while the efficacy data for Aimovia are compelling, payer prior-authorisation requirements slow initiation.</w:t>
      </w:r>
    </w:p>
    <w:p>
      <w:pPr>
        <w:pStyle w:val="Heading1"/>
      </w:pPr>
      <w:r>
        <w:t>Clinical Perspective</w:t>
      </w:r>
    </w:p>
    <w:p>
      <w:r>
        <w:t>Dr. Henrik Verhoeven said that tolerability, particularly constipation and ARIA imaging findings, shapes the choice between Aimovia and alternatives in migraine.</w:t>
      </w:r>
    </w:p>
    <w:p>
      <w:r>
        <w:t>In Germany, Dr. Henrik Verhoeven explained that treatment decisions follow national guidelines and local payer rules.</w:t>
      </w:r>
    </w:p>
    <w:p>
      <w:r>
        <w:t>Supply and logistics are not a concern for Aimovia, though cold-chain handling and nurse-led administration add workload in busy clinics.</w:t>
      </w:r>
    </w:p>
    <w:p>
      <w:r>
        <w:t>Registry data show that outcomes in migraine depend heavily on early diagnosis, access to specialist care and adherence to maintenance therapy.</w:t>
      </w:r>
    </w:p>
    <w:p>
      <w:r>
        <w:t>Respondents expect real-world persistence on Aimovia to be lower than in trials, mainly because of monitoring requirements and the complexity of managing infusion reactions.</w:t>
      </w:r>
    </w:p>
    <w:p>
      <w:r>
        <w:t>Safety monitoring focused on injection-site reactions and infusion reactions, with dose interruption or discontinuation used for severe adverse events.</w:t>
      </w:r>
    </w:p>
    <w:p>
      <w:r>
        <w:t>The competitive set is evolving as new mechanisms enter phase 3 development, with readouts expected over the next two to three years.</w:t>
      </w:r>
    </w:p>
    <w:p>
      <w:r>
        <w:t>Medical education priorities include recognising injection-site reactions early, communicating realistic expectations, and coordinating with primary care.</w:t>
      </w:r>
    </w:p>
    <w:p>
      <w:r>
        <w:t>Guideline committees are expected to review the evidence base for migraine again next year, which could change eligibility criteria and referral patterns.</w:t>
      </w:r>
    </w:p>
    <w:p>
      <w:r>
        <w:t>The unmet need in migraine persists in patients who relapse or become refractory, where options are limited and outcomes remain poor.</w:t>
      </w:r>
    </w:p>
    <w:p>
      <w:r>
        <w:t>Combination therapy and sequencing strategies remain debated; respondents noted limited head-to-head evidence between Aimovia and competing agents.</w:t>
      </w:r>
    </w:p>
    <w:p>
      <w:r>
        <w:t>Neurologists emphasised that patient-reported outcomes and quality of life are increasingly important when choosing between CGRP receptor antibody options.</w:t>
      </w:r>
    </w:p>
    <w:p>
      <w:r>
        <w:t>Biosimilar and generic competition in adjacent classes is shaping price expectations, even where Aimovia has no direct substitute.</w:t>
      </w:r>
    </w:p>
    <w:p>
      <w:r>
        <w:t>Education needs include biomarker testing, management of adverse events and counselling patients on the expected benefit-risk.</w:t>
      </w:r>
    </w:p>
    <w:p>
      <w:r>
        <w:t>Patient advocacy groups are pushing for earlier access, and shared decision-making tools are being piloted to explain benefit, risk and treatment burden.</w:t>
      </w:r>
    </w:p>
    <w:p>
      <w:pPr>
        <w:pStyle w:val="Heading1"/>
      </w:pPr>
      <w:r>
        <w:t>Advice to the Brand Team</w:t>
      </w:r>
    </w:p>
    <w:p>
      <w:r>
        <w:t>Dr. Henrik Verhoeven recommended investing in real-world evidence and in education on discontinuation after early adverse events.</w:t>
      </w:r>
    </w:p>
    <w:p>
      <w:r>
        <w:t>Registry data show that outcomes in migraine depend heavily on early diagnosis, access to specialist care and adherence to maintenance therapy.</w:t>
      </w:r>
    </w:p>
    <w:p>
      <w:r>
        <w:t>Peer-to-peer education and congress data were cited as the most trusted sources when neurologists evaluate new evidence on CGRP receptor antibody agents.</w:t>
      </w:r>
    </w:p>
    <w:p>
      <w:r>
        <w:t>Guideline committees are expected to review the evidence base for migraine again next year, which could change eligibility criteria and referral patterns.</w:t>
      </w:r>
    </w:p>
    <w:p>
      <w:r>
        <w:t>Safety monitoring focused on injection-site reactions and headache, with dose interruption or discontinuation used for severe adverse events.</w:t>
      </w:r>
    </w:p>
    <w:p>
      <w:r>
        <w:t>Neurologists emphasised that patient-reported outcomes and quality of life are increasingly important when choosing between CGRP receptor antibody options.</w:t>
      </w:r>
    </w:p>
    <w:p>
      <w:r>
        <w:t>Biosimilar and generic competition in adjacent classes is shaping price expectations, even where Aimovia has no direct substitute.</w:t>
      </w:r>
    </w:p>
    <w:p>
      <w:r>
        <w:t>Clinical guidelines in Germany recommend refractory disease use of agents in this class, and recent updates have broadened eligibility based on biomarker status and comorbidity profile.</w:t>
      </w:r>
    </w:p>
    <w:p>
      <w:r>
        <w:t>Education needs include biomarker testing, management of adverse events and counselling patients on the expected benefit-risk.</w:t>
      </w:r>
    </w:p>
    <w:p>
      <w:r>
        <w:t>The unmet need in migraine persists in patients who relapse or become refractory, where options are limited and outcomes remain poor.</w:t>
      </w:r>
    </w:p>
    <w:p>
      <w:r>
        <w:t>Supply and logistics are not a concern for Aimovia, though cold-chain handling and nurse-led administration add workload in busy clinics.</w:t>
      </w:r>
    </w:p>
    <w:p>
      <w:r>
        <w:t>Combination therapy and sequencing strategies remain debated; respondents noted limited head-to-head evidence between Aimovia and competing agents.</w:t>
      </w:r>
    </w:p>
    <w:p>
      <w:r>
        <w:t>Treatment burden, including monitoring visits and monitoring requirements, was described as a key factor in long-term adherence and persistence.</w:t>
      </w:r>
    </w:p>
    <w:p>
      <w:r>
        <w:t>Payer decisions increasingly rely on health technology assessment, requiring evidence of clinical benefit versus the standard of care and cost-effectiveness analyses.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 Interview Summary: Aimovia in Germany (2024)</dc:title>
  <dc:subject/>
  <dc:creator>Mei Tanaka</dc:creator>
  <cp:keywords/>
  <dc:description>generated by python-docx</dc:description>
  <cp:lastModifiedBy/>
  <cp:revision>1</cp:revision>
  <dcterms:created xsi:type="dcterms:W3CDTF">2024-06-20T09:00:00Z</dcterms:created>
  <dcterms:modified xsi:type="dcterms:W3CDTF">2013-12-23T23:15:00Z</dcterms:modified>
  <cp:category/>
</cp:coreProperties>
</file>