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KOL Interview Summary: Tagrisa in Germany (2024)</w:t>
      </w:r>
    </w:p>
    <w:p>
      <w:r>
        <w:t>Report date: 2024-03-19 | Prepared by: Rahul Desai</w:t>
      </w:r>
    </w:p>
    <w:p>
      <w:pPr>
        <w:pStyle w:val="Heading1"/>
      </w:pPr>
      <w:r>
        <w:t>Interview Summary</w:t>
      </w:r>
    </w:p>
    <w:p>
      <w:r>
        <w:t>Dr. John Martinez (DOB: 14/03/1968, email: j.martinez@clinic.de, phone: +49 30 5551 2847) was interviewed on August 2024 about Tagrisa (oselvertinib) in EGFR-mutant NSCLC.</w:t>
      </w:r>
    </w:p>
    <w:p>
      <w:r>
        <w:t>Dr. John Martinez noted that while the efficacy data for Tagrisa are compelling, long-term safety data are still limited.</w:t>
      </w:r>
    </w:p>
    <w:p>
      <w:pPr>
        <w:pStyle w:val="Heading1"/>
      </w:pPr>
      <w:r>
        <w:t>Clinical Perspective</w:t>
      </w:r>
    </w:p>
    <w:p>
      <w:r>
        <w:t>Dr. Martinez said that tolerability, particularly pneumonitis and rash, shapes the choice between Tagrisa and alternatives in EGFR-mutant NSCLC.</w:t>
      </w:r>
    </w:p>
    <w:p>
      <w:r>
        <w:t>In Germany, treatment decisions follow national guidelines and local payer rules.</w:t>
      </w:r>
    </w:p>
    <w:p>
      <w:r>
        <w:t>Combination therapy and sequencing strategies remain debated; respondents noted limited head-to-head evidence between Tagrisa and competing agents.</w:t>
      </w:r>
    </w:p>
    <w:p>
      <w:r>
        <w:t>Biosimilar and generic competition in adjacent classes is shaping price expectations, even where Tagrisa has no direct substitute.</w:t>
      </w:r>
    </w:p>
    <w:p>
      <w:r>
        <w:t>Guideline committees are expected to review the evidence base for EGFR-mutant NSCLC again next year, which could change eligibility criteria and referral patterns.</w:t>
      </w:r>
    </w:p>
    <w:p>
      <w:r>
        <w:t>Subgroup analyses suggest that benefit with Tagrisa is most pronounced in patients with a favourable biomarker profile and a lower comorbidity burden.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Regional variation within Germany is notable: large centres report faster uptake and broader use than smaller regional hospitals.</w:t>
      </w:r>
    </w:p>
    <w:p>
      <w:r>
        <w:t>Treatment burden, including monitoring visits and injection-site discomfort, was described as a key factor in long-term adherence and persistence.</w:t>
      </w:r>
    </w:p>
    <w:p>
      <w:r>
        <w:t>Peer-to-peer education and congress data were cited as the most trusted sources when oncologists evaluate new evidence on EGFR tyrosine kinase inhibitor agents.</w:t>
      </w:r>
    </w:p>
    <w:p>
      <w:pPr>
        <w:pStyle w:val="Heading1"/>
      </w:pPr>
      <w:r>
        <w:t>Advice to the Brand Team</w:t>
      </w:r>
    </w:p>
    <w:p>
      <w:r>
        <w:t>Dr. Martinez recommended investing in real-world evidence and in education on injection-site discomfort.</w:t>
      </w:r>
    </w:p>
    <w:p>
      <w:r>
        <w:t>Respondents expect real-world persistence on Tagrisa to be lower than in trials, mainly because of injection-site discomfort and the complexity of managing pneumonitis.</w:t>
      </w:r>
    </w:p>
    <w:p>
      <w:r>
        <w:t>Sequencing after progression remains an open question; oncologists in Germany reported using a different mechanism of action after Tagrisa fails.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Oncologists emphasised that patient-reported outcomes and quality of life are increasingly important when choosing between EGFR tyrosine kinase inhibitor options.</w:t>
      </w:r>
    </w:p>
    <w:p>
      <w:r>
        <w:t>Registry data show that outcomes in EGFR-mutant NSCLC depend heavily on early diagnosis, access to specialist care and adherence to maintenance therapy.</w:t>
      </w:r>
    </w:p>
    <w:p>
      <w:r>
        <w:t>Safety monitoring focused on immune-related adverse events and pneumonitis, with dose interruption or discontinuation used for severe adverse events.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Dose modification guidance for Tagrisa is generally followed, but oncologists said that practical monitoring of immune-related adverse events depends on local capacity and patient travel distance.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 Interview Summary: Tagrisa in Germany (2024)</dc:title>
  <dc:subject/>
  <dc:creator>Rahul Desai</dc:creator>
  <cp:keywords/>
  <dc:description>generated by python-docx</dc:description>
  <cp:lastModifiedBy/>
  <cp:revision>1</cp:revision>
  <dcterms:created xsi:type="dcterms:W3CDTF">2024-03-19T09:00:00Z</dcterms:created>
  <dcterms:modified xsi:type="dcterms:W3CDTF">2013-12-23T23:15:00Z</dcterms:modified>
  <cp:category/>
</cp:coreProperties>
</file>