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Opdivra in non-small cell lung cancer (US, 2024)</w:t>
      </w:r>
    </w:p>
    <w:p>
      <w:r>
        <w:t>Report date: 2024-02-21 | Prepared by: Rahul Desai</w:t>
      </w:r>
    </w:p>
    <w:p>
      <w:pPr>
        <w:pStyle w:val="Heading1"/>
      </w:pPr>
      <w:r>
        <w:t>Executive Summary</w:t>
      </w:r>
    </w:p>
    <w:p>
      <w:r>
        <w:t>This survey of 45 oncologists across United States examined how clinicians perceive Opdivra (nivoltrimab) for non-small cell lung cancer. Fieldwork took place in February 2024.</w:t>
      </w:r>
    </w:p>
    <w:p>
      <w:r>
        <w:t>Overall HCP sentiment index for Opdivra in United States: 0.26 (scale 0 to 1, assessed 2024). Respondents viewed the brand negatively.</w:t>
      </w:r>
    </w:p>
    <w:p>
      <w:pPr>
        <w:pStyle w:val="Heading1"/>
      </w:pPr>
      <w:r>
        <w:t>Methodology</w:t>
      </w:r>
    </w:p>
    <w:p>
      <w:r>
        <w:t>Respondents were oncologists who treat at least 4 patients per month with non-small cell lung cancer. The sample size was n=45. Interviews lasted 21 minutes and were conducted online.</w:t>
      </w:r>
    </w:p>
    <w:p>
      <w:r>
        <w:t>Results are weighted to national prescribing volumes. Statistical significance was assessed at the 95% confidence level.</w:t>
      </w:r>
    </w:p>
    <w:p>
      <w:r>
        <w:t>Safety monitoring focused on fatigue and immune-related adverse events, with dose interruption or discontinuation used for severe adverse events.</w:t>
      </w:r>
    </w:p>
    <w:p>
      <w:r>
        <w:t>The competitive set is evolving as new mechanisms enter phase 3 development, with readouts expected over the next two to three years.</w:t>
      </w:r>
    </w:p>
    <w:p>
      <w:r>
        <w:t>Cost-effectiveness submissions typically model second-line use, and payers question the durability of benefit beyond the trial follow-up period.</w:t>
      </w:r>
    </w:p>
    <w:p>
      <w:r>
        <w:t>Clinical guidelines in United States recommend second-line use of agents in this class, and recent updates have broadened eligibility based on biomarker status and comorbidity profile.</w:t>
      </w:r>
    </w:p>
    <w:p>
      <w:r>
        <w:t>Registry data show that outcomes in non-small cell lung cancer depend heavily on early diagnosis, access to specialist care and adherence to maintenance therapy.</w:t>
      </w:r>
    </w:p>
    <w:p>
      <w:r>
        <w:t>Subgroup analyses suggest that benefit with Opdivra is most pronounced in patients with a favourable biomarker profile and a lower comorbidity burden.</w:t>
      </w:r>
    </w:p>
    <w:p>
      <w:r>
        <w:t>Medical education priorities include recognising fatigue early, communicating realistic expectations, and coordinating with primary care.</w:t>
      </w:r>
    </w:p>
    <w:p>
      <w:r>
        <w:t>Education needs include biomarker testing, management of adverse events and counselling patients on the expected benefit-risk.</w:t>
      </w:r>
    </w:p>
    <w:p>
      <w:pPr>
        <w:pStyle w:val="Heading1"/>
      </w:pPr>
      <w:r>
        <w:t>Key Findings</w:t>
      </w:r>
    </w:p>
    <w:p>
      <w:r>
        <w:t>Adherence concerns centred on discontinuation after early adverse events, particularly in patients with comorbidities and polypharmacy.</w:t>
      </w:r>
    </w:p>
    <w:p>
      <w:r>
        <w:t>Oncologists in United States rated Opdivra tolerability profile as negatively, citing rash and immune-related adverse events as the main concerns among patients with non-small cell lung cancer.</w:t>
      </w:r>
    </w:p>
    <w:p>
      <w:r>
        <w:t>Prescribing intent for Opdivra among oncologists was cautious, with 28% planning to increase use in the next 12 months.</w:t>
      </w:r>
    </w:p>
    <w:p>
      <w:r>
        <w:t>Many oncologists said they would like more information about Opdivra.</w:t>
      </w:r>
    </w:p>
    <w:p>
      <w:r>
        <w:t>Subgroup analyses suggest that benefit with Opdivra is most pronounced in patients with a favourable biomarker profile and a lower comorbidity burden.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Oncologists emphasised that patient-reported outcomes and quality of life are increasingly important when choosing between PD-1 inhibitor options.</w:t>
      </w:r>
    </w:p>
    <w:p>
      <w:r>
        <w:t>Registry data show that outcomes in non-small cell lung cancer depend heavily on early diagnosis, access to specialist care and adherence to maintenance therapy.</w:t>
      </w:r>
    </w:p>
    <w:p>
      <w:r>
        <w:t>Sequencing after progression remains an open question; oncologists in United States reported using a different mechanism of action after Opdivra fails.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Dose modification guidance for Opdivra is generally followed, but oncologists said that practical monitoring of fatigue depends on local capacity and patient travel distance.</w:t>
      </w:r>
    </w:p>
    <w:p>
      <w:r>
        <w:t>The competitive set is evolving as new mechanisms enter phase 3 development, with readouts expected over the next two to three years.</w:t>
      </w:r>
    </w:p>
    <w:p>
      <w:pPr>
        <w:pStyle w:val="Heading1"/>
      </w:pPr>
      <w:r>
        <w:t>Conclusions</w:t>
      </w:r>
    </w:p>
    <w:p>
      <w:r>
        <w:t>Opdivra is perceived negatively in United States. Priorities for the brand team are discontinuation after early adverse events and evidence generation for non-small cell lung cancer.</w:t>
      </w:r>
    </w:p>
    <w:p>
      <w:r>
        <w:t>Biosimilar and generic competition in adjacent classes is shaping price expectations, even where Opdivra has no direct substitute.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Cost-effectiveness submissions typically model second-line use, and payers question the durability of benefit beyond the trial follow-up period.</w:t>
      </w:r>
    </w:p>
    <w:p>
      <w:r>
        <w:t>Clinical guidelines in United States recommend second-line use of agents in this class, and recent updates have broadened eligibility based on biomarker status and comorbidity profile.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Registry data show that outcomes in non-small cell lung cancer depend heavily on early diagnosis, access to specialist care and adherence to maintenance therapy.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Opdivra in non-small cell lung cancer (US, 2024)</dc:title>
  <dc:subject/>
  <dc:creator>Rahul Desai</dc:creator>
  <cp:keywords/>
  <dc:description>generated by python-docx</dc:description>
  <cp:lastModifiedBy/>
  <cp:revision>1</cp:revision>
  <dcterms:created xsi:type="dcterms:W3CDTF">2024-02-21T09:00:00Z</dcterms:created>
  <dcterms:modified xsi:type="dcterms:W3CDTF">2013-12-23T23:15:00Z</dcterms:modified>
  <cp:category/>
</cp:coreProperties>
</file>